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463D706A" w:rsidR="00D44BF7" w:rsidRDefault="00ED32F1" w:rsidP="00C5289C">
      <w:pPr>
        <w:spacing w:before="120" w:after="120"/>
        <w:ind w:left="142" w:right="95"/>
        <w:jc w:val="both"/>
        <w:rPr>
          <w:w w:val="80"/>
        </w:rPr>
      </w:pPr>
      <w:r w:rsidRPr="00ED32F1">
        <w:rPr>
          <w:w w:val="80"/>
        </w:rPr>
        <w:t>West London College</w:t>
      </w:r>
      <w:r w:rsidR="00D50D9E">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even" r:id="rId11"/>
      <w:headerReference w:type="default" r:id="rId12"/>
      <w:footerReference w:type="even" r:id="rId13"/>
      <w:footerReference w:type="default" r:id="rId14"/>
      <w:headerReference w:type="first" r:id="rId15"/>
      <w:footerReference w:type="first" r:id="rId16"/>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E364" w14:textId="77777777" w:rsidR="008A1E7A" w:rsidRDefault="008A1E7A">
      <w:r>
        <w:separator/>
      </w:r>
    </w:p>
  </w:endnote>
  <w:endnote w:type="continuationSeparator" w:id="0">
    <w:p w14:paraId="55A3B777" w14:textId="77777777" w:rsidR="008A1E7A" w:rsidRDefault="008A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DFD8" w14:textId="77777777" w:rsidR="00ED32F1" w:rsidRDefault="00ED3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879D" w14:textId="77777777" w:rsidR="00ED32F1" w:rsidRDefault="00ED3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9186B" w14:textId="77777777" w:rsidR="008A1E7A" w:rsidRDefault="008A1E7A">
      <w:r>
        <w:separator/>
      </w:r>
    </w:p>
  </w:footnote>
  <w:footnote w:type="continuationSeparator" w:id="0">
    <w:p w14:paraId="20BDA85E" w14:textId="77777777" w:rsidR="008A1E7A" w:rsidRDefault="008A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9DAC" w14:textId="77777777" w:rsidR="00ED32F1" w:rsidRDefault="00ED3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21EAFB62" w:rsidR="00C5289C" w:rsidRDefault="00ED32F1"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spacing w:val="-3"/>
        <w:w w:val="95"/>
        <w:sz w:val="28"/>
      </w:rPr>
      <w:drawing>
        <wp:anchor distT="0" distB="0" distL="114300" distR="114300" simplePos="0" relativeHeight="251660288" behindDoc="0" locked="0" layoutInCell="1" allowOverlap="1" wp14:anchorId="34754852" wp14:editId="58F7E787">
          <wp:simplePos x="0" y="0"/>
          <wp:positionH relativeFrom="margin">
            <wp:posOffset>5927725</wp:posOffset>
          </wp:positionH>
          <wp:positionV relativeFrom="paragraph">
            <wp:posOffset>133986</wp:posOffset>
          </wp:positionV>
          <wp:extent cx="1037327" cy="651509"/>
          <wp:effectExtent l="0" t="0" r="0" b="0"/>
          <wp:wrapNone/>
          <wp:docPr id="1229556965" name="Picture 2"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56965" name="Picture 2" descr="A logo with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850" cy="6530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D4850" w14:textId="0FEEFFC0"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1E5E4788"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r w:rsidR="00ED32F1" w:rsidRPr="00ED32F1">
      <w:rPr>
        <w:rFonts w:ascii="Arial" w:hAnsi="Arial" w:cs="Arial"/>
        <w:noProof/>
        <w:color w:val="000000" w:themeColor="text1"/>
        <w:spacing w:val="-3"/>
        <w:w w:val="95"/>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4D2B" w14:textId="77777777" w:rsidR="00ED32F1" w:rsidRDefault="00ED3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A499E"/>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4420A"/>
    <w:rsid w:val="0085400A"/>
    <w:rsid w:val="00857406"/>
    <w:rsid w:val="0087191C"/>
    <w:rsid w:val="00883929"/>
    <w:rsid w:val="00883BAA"/>
    <w:rsid w:val="008A1E7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32F1"/>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2025-02-25T11:42:00Z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