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13D34" w14:textId="77777777" w:rsidR="000E61B1" w:rsidRDefault="000E61B1">
      <w:pPr>
        <w:pStyle w:val="BodyText"/>
        <w:rPr>
          <w:rFonts w:ascii="Times New Roman"/>
          <w:sz w:val="20"/>
        </w:rPr>
      </w:pPr>
    </w:p>
    <w:p w14:paraId="10B5CE7B" w14:textId="77777777" w:rsidR="000E61B1" w:rsidRDefault="000E61B1">
      <w:pPr>
        <w:pStyle w:val="BodyText"/>
        <w:rPr>
          <w:rFonts w:ascii="Times New Roman"/>
          <w:sz w:val="20"/>
        </w:rPr>
      </w:pPr>
    </w:p>
    <w:p w14:paraId="29BF0F50" w14:textId="77777777" w:rsidR="000E61B1" w:rsidRDefault="000E61B1">
      <w:pPr>
        <w:pStyle w:val="BodyText"/>
        <w:spacing w:before="2"/>
        <w:rPr>
          <w:rFonts w:ascii="Times New Roman"/>
        </w:rPr>
      </w:pPr>
    </w:p>
    <w:p w14:paraId="21BB469B" w14:textId="77777777" w:rsidR="000E61B1" w:rsidRDefault="00000000">
      <w:pPr>
        <w:pStyle w:val="Heading1"/>
        <w:spacing w:before="90" w:line="256" w:lineRule="auto"/>
        <w:ind w:right="294"/>
      </w:pPr>
      <w:r>
        <w:rPr>
          <w:color w:val="4471C4"/>
        </w:rPr>
        <w:t>Best</w:t>
      </w:r>
      <w:r>
        <w:rPr>
          <w:color w:val="4471C4"/>
          <w:spacing w:val="-6"/>
        </w:rPr>
        <w:t xml:space="preserve"> </w:t>
      </w:r>
      <w:r>
        <w:rPr>
          <w:color w:val="4471C4"/>
        </w:rPr>
        <w:t>practice</w:t>
      </w:r>
      <w:r>
        <w:rPr>
          <w:color w:val="4471C4"/>
          <w:spacing w:val="-6"/>
        </w:rPr>
        <w:t xml:space="preserve"> </w:t>
      </w:r>
      <w:r>
        <w:rPr>
          <w:color w:val="4471C4"/>
        </w:rPr>
        <w:t>in</w:t>
      </w:r>
      <w:r>
        <w:rPr>
          <w:color w:val="4471C4"/>
          <w:spacing w:val="-6"/>
        </w:rPr>
        <w:t xml:space="preserve"> </w:t>
      </w:r>
      <w:r>
        <w:rPr>
          <w:color w:val="4471C4"/>
        </w:rPr>
        <w:t>curriculum</w:t>
      </w:r>
      <w:r>
        <w:rPr>
          <w:color w:val="4471C4"/>
          <w:spacing w:val="-3"/>
        </w:rPr>
        <w:t xml:space="preserve"> </w:t>
      </w:r>
      <w:r>
        <w:rPr>
          <w:color w:val="4471C4"/>
        </w:rPr>
        <w:t>planning</w:t>
      </w:r>
      <w:r>
        <w:rPr>
          <w:color w:val="4471C4"/>
          <w:spacing w:val="-6"/>
        </w:rPr>
        <w:t xml:space="preserve"> </w:t>
      </w:r>
      <w:r>
        <w:rPr>
          <w:color w:val="4471C4"/>
        </w:rPr>
        <w:t>and</w:t>
      </w:r>
      <w:r>
        <w:rPr>
          <w:color w:val="4471C4"/>
          <w:spacing w:val="-7"/>
        </w:rPr>
        <w:t xml:space="preserve"> </w:t>
      </w:r>
      <w:r>
        <w:rPr>
          <w:color w:val="4471C4"/>
        </w:rPr>
        <w:t>teaching,</w:t>
      </w:r>
      <w:r>
        <w:rPr>
          <w:color w:val="4471C4"/>
          <w:spacing w:val="-6"/>
        </w:rPr>
        <w:t xml:space="preserve"> </w:t>
      </w:r>
      <w:r>
        <w:rPr>
          <w:color w:val="4471C4"/>
        </w:rPr>
        <w:t>learning</w:t>
      </w:r>
      <w:r>
        <w:rPr>
          <w:color w:val="4471C4"/>
          <w:spacing w:val="-7"/>
        </w:rPr>
        <w:t xml:space="preserve"> </w:t>
      </w:r>
      <w:r>
        <w:rPr>
          <w:color w:val="4471C4"/>
        </w:rPr>
        <w:t>and assessment in FE and Skills settings in the UK and overseas.</w:t>
      </w:r>
    </w:p>
    <w:p w14:paraId="28907A48" w14:textId="77777777" w:rsidR="000E61B1" w:rsidRDefault="000E61B1">
      <w:pPr>
        <w:pStyle w:val="BodyText"/>
        <w:rPr>
          <w:b/>
          <w:sz w:val="20"/>
        </w:rPr>
      </w:pPr>
    </w:p>
    <w:p w14:paraId="49AFEB0E" w14:textId="77777777" w:rsidR="000E61B1" w:rsidRDefault="000E61B1">
      <w:pPr>
        <w:pStyle w:val="BodyText"/>
        <w:spacing w:before="7"/>
        <w:rPr>
          <w:b/>
          <w:sz w:val="21"/>
        </w:rPr>
      </w:pPr>
    </w:p>
    <w:p w14:paraId="7CD95C30" w14:textId="77777777" w:rsidR="000E61B1" w:rsidRDefault="00000000">
      <w:pPr>
        <w:spacing w:before="94" w:line="259" w:lineRule="auto"/>
        <w:ind w:left="220" w:right="294"/>
      </w:pPr>
      <w:r>
        <w:t>The</w:t>
      </w:r>
      <w:r>
        <w:rPr>
          <w:spacing w:val="-4"/>
        </w:rPr>
        <w:t xml:space="preserve"> </w:t>
      </w:r>
      <w:r>
        <w:rPr>
          <w:b/>
        </w:rPr>
        <w:t>European</w:t>
      </w:r>
      <w:r>
        <w:rPr>
          <w:b/>
          <w:spacing w:val="-3"/>
        </w:rPr>
        <w:t xml:space="preserve"> </w:t>
      </w:r>
      <w:r>
        <w:rPr>
          <w:b/>
        </w:rPr>
        <w:t>Centre for</w:t>
      </w:r>
      <w:r>
        <w:rPr>
          <w:b/>
          <w:spacing w:val="-7"/>
        </w:rPr>
        <w:t xml:space="preserve"> </w:t>
      </w:r>
      <w:r>
        <w:rPr>
          <w:b/>
        </w:rPr>
        <w:t>the</w:t>
      </w:r>
      <w:r>
        <w:rPr>
          <w:b/>
          <w:spacing w:val="-1"/>
        </w:rPr>
        <w:t xml:space="preserve"> </w:t>
      </w:r>
      <w:r>
        <w:rPr>
          <w:b/>
        </w:rPr>
        <w:t>Development</w:t>
      </w:r>
      <w:r>
        <w:rPr>
          <w:b/>
          <w:spacing w:val="-4"/>
        </w:rPr>
        <w:t xml:space="preserve"> </w:t>
      </w:r>
      <w:r>
        <w:rPr>
          <w:b/>
        </w:rPr>
        <w:t>of</w:t>
      </w:r>
      <w:r>
        <w:rPr>
          <w:b/>
          <w:spacing w:val="-4"/>
        </w:rPr>
        <w:t xml:space="preserve"> </w:t>
      </w:r>
      <w:r>
        <w:rPr>
          <w:b/>
        </w:rPr>
        <w:t>Vocational</w:t>
      </w:r>
      <w:r>
        <w:rPr>
          <w:b/>
          <w:spacing w:val="-6"/>
        </w:rPr>
        <w:t xml:space="preserve"> </w:t>
      </w:r>
      <w:r>
        <w:rPr>
          <w:b/>
        </w:rPr>
        <w:t>Training</w:t>
      </w:r>
      <w:r>
        <w:rPr>
          <w:b/>
          <w:spacing w:val="-8"/>
        </w:rPr>
        <w:t xml:space="preserve"> </w:t>
      </w:r>
      <w:r>
        <w:rPr>
          <w:b/>
        </w:rPr>
        <w:t xml:space="preserve">(CEDEFOP) </w:t>
      </w:r>
      <w:r>
        <w:rPr>
          <w:color w:val="090909"/>
          <w:shd w:val="clear" w:color="auto" w:fill="FAF9F8"/>
        </w:rPr>
        <w:t>produce</w:t>
      </w:r>
      <w:r>
        <w:rPr>
          <w:color w:val="090909"/>
        </w:rPr>
        <w:t xml:space="preserve"> </w:t>
      </w:r>
      <w:r>
        <w:rPr>
          <w:color w:val="090909"/>
          <w:shd w:val="clear" w:color="auto" w:fill="FAF9F8"/>
        </w:rPr>
        <w:t>publications which highlight best practice vocational and technical training across Europe.</w:t>
      </w:r>
    </w:p>
    <w:p w14:paraId="39B2910D" w14:textId="77777777" w:rsidR="000E61B1" w:rsidRDefault="00000000">
      <w:pPr>
        <w:pStyle w:val="BodyText"/>
        <w:spacing w:before="1" w:line="256" w:lineRule="auto"/>
        <w:ind w:left="220" w:right="294"/>
      </w:pPr>
      <w:r>
        <w:rPr>
          <w:color w:val="090909"/>
          <w:shd w:val="clear" w:color="auto" w:fill="FAF9F8"/>
        </w:rPr>
        <w:t>Some</w:t>
      </w:r>
      <w:r>
        <w:rPr>
          <w:color w:val="090909"/>
          <w:spacing w:val="-4"/>
          <w:shd w:val="clear" w:color="auto" w:fill="FAF9F8"/>
        </w:rPr>
        <w:t xml:space="preserve"> </w:t>
      </w:r>
      <w:r>
        <w:rPr>
          <w:color w:val="090909"/>
          <w:shd w:val="clear" w:color="auto" w:fill="FAF9F8"/>
        </w:rPr>
        <w:t>of</w:t>
      </w:r>
      <w:r>
        <w:rPr>
          <w:color w:val="090909"/>
          <w:spacing w:val="-5"/>
          <w:shd w:val="clear" w:color="auto" w:fill="FAF9F8"/>
        </w:rPr>
        <w:t xml:space="preserve"> </w:t>
      </w:r>
      <w:r>
        <w:rPr>
          <w:color w:val="090909"/>
          <w:shd w:val="clear" w:color="auto" w:fill="FAF9F8"/>
        </w:rPr>
        <w:t>their</w:t>
      </w:r>
      <w:r>
        <w:rPr>
          <w:color w:val="090909"/>
          <w:spacing w:val="-3"/>
          <w:shd w:val="clear" w:color="auto" w:fill="FAF9F8"/>
        </w:rPr>
        <w:t xml:space="preserve"> </w:t>
      </w:r>
      <w:r>
        <w:rPr>
          <w:color w:val="090909"/>
          <w:shd w:val="clear" w:color="auto" w:fill="FAF9F8"/>
        </w:rPr>
        <w:t>reports</w:t>
      </w:r>
      <w:r>
        <w:rPr>
          <w:color w:val="090909"/>
          <w:spacing w:val="-6"/>
          <w:shd w:val="clear" w:color="auto" w:fill="FAF9F8"/>
        </w:rPr>
        <w:t xml:space="preserve"> </w:t>
      </w:r>
      <w:r>
        <w:rPr>
          <w:color w:val="090909"/>
          <w:shd w:val="clear" w:color="auto" w:fill="FAF9F8"/>
        </w:rPr>
        <w:t>are cited in</w:t>
      </w:r>
      <w:r>
        <w:rPr>
          <w:color w:val="090909"/>
          <w:spacing w:val="-4"/>
          <w:shd w:val="clear" w:color="auto" w:fill="FAF9F8"/>
        </w:rPr>
        <w:t xml:space="preserve"> </w:t>
      </w:r>
      <w:r>
        <w:rPr>
          <w:color w:val="090909"/>
          <w:shd w:val="clear" w:color="auto" w:fill="FAF9F8"/>
        </w:rPr>
        <w:t>the</w:t>
      </w:r>
      <w:r>
        <w:rPr>
          <w:color w:val="090909"/>
          <w:spacing w:val="-4"/>
          <w:shd w:val="clear" w:color="auto" w:fill="FAF9F8"/>
        </w:rPr>
        <w:t xml:space="preserve"> </w:t>
      </w:r>
      <w:r>
        <w:rPr>
          <w:color w:val="090909"/>
          <w:shd w:val="clear" w:color="auto" w:fill="FAF9F8"/>
        </w:rPr>
        <w:t>original</w:t>
      </w:r>
      <w:r>
        <w:rPr>
          <w:color w:val="090909"/>
          <w:spacing w:val="-7"/>
          <w:shd w:val="clear" w:color="auto" w:fill="FAF9F8"/>
        </w:rPr>
        <w:t xml:space="preserve"> </w:t>
      </w:r>
      <w:r>
        <w:rPr>
          <w:color w:val="090909"/>
          <w:shd w:val="clear" w:color="auto" w:fill="FAF9F8"/>
        </w:rPr>
        <w:t>SIS research. Two further</w:t>
      </w:r>
      <w:r>
        <w:rPr>
          <w:color w:val="090909"/>
          <w:spacing w:val="-3"/>
          <w:shd w:val="clear" w:color="auto" w:fill="FAF9F8"/>
        </w:rPr>
        <w:t xml:space="preserve"> </w:t>
      </w:r>
      <w:r>
        <w:rPr>
          <w:color w:val="090909"/>
          <w:shd w:val="clear" w:color="auto" w:fill="FAF9F8"/>
        </w:rPr>
        <w:t>reports</w:t>
      </w:r>
      <w:r>
        <w:rPr>
          <w:color w:val="090909"/>
          <w:spacing w:val="-6"/>
          <w:shd w:val="clear" w:color="auto" w:fill="FAF9F8"/>
        </w:rPr>
        <w:t xml:space="preserve"> </w:t>
      </w:r>
      <w:r>
        <w:rPr>
          <w:color w:val="090909"/>
          <w:shd w:val="clear" w:color="auto" w:fill="FAF9F8"/>
        </w:rPr>
        <w:t>that</w:t>
      </w:r>
      <w:r>
        <w:rPr>
          <w:color w:val="090909"/>
          <w:spacing w:val="-5"/>
          <w:shd w:val="clear" w:color="auto" w:fill="FAF9F8"/>
        </w:rPr>
        <w:t xml:space="preserve"> </w:t>
      </w:r>
      <w:r>
        <w:rPr>
          <w:color w:val="090909"/>
          <w:shd w:val="clear" w:color="auto" w:fill="FAF9F8"/>
        </w:rPr>
        <w:t>have</w:t>
      </w:r>
      <w:r>
        <w:rPr>
          <w:color w:val="090909"/>
        </w:rPr>
        <w:t xml:space="preserve"> </w:t>
      </w:r>
      <w:r>
        <w:rPr>
          <w:color w:val="090909"/>
          <w:shd w:val="clear" w:color="auto" w:fill="FAF9F8"/>
        </w:rPr>
        <w:t>emerged since the completion of that research in April 2021 which will be of interest to</w:t>
      </w:r>
      <w:r>
        <w:rPr>
          <w:color w:val="090909"/>
        </w:rPr>
        <w:t xml:space="preserve"> </w:t>
      </w:r>
      <w:r>
        <w:rPr>
          <w:color w:val="090909"/>
          <w:shd w:val="clear" w:color="auto" w:fill="FAF9F8"/>
        </w:rPr>
        <w:t>senior curriculum and quality leaders in the UK is presented here:</w:t>
      </w:r>
    </w:p>
    <w:p w14:paraId="1273840E" w14:textId="77777777" w:rsidR="000E61B1" w:rsidRDefault="00000000">
      <w:pPr>
        <w:spacing w:before="167" w:line="254" w:lineRule="auto"/>
        <w:ind w:left="220"/>
        <w:rPr>
          <w:b/>
        </w:rPr>
      </w:pPr>
      <w:r>
        <w:rPr>
          <w:i/>
        </w:rPr>
        <w:t>The</w:t>
      </w:r>
      <w:r>
        <w:rPr>
          <w:i/>
          <w:spacing w:val="-10"/>
        </w:rPr>
        <w:t xml:space="preserve"> </w:t>
      </w:r>
      <w:r>
        <w:rPr>
          <w:i/>
        </w:rPr>
        <w:t>future</w:t>
      </w:r>
      <w:r>
        <w:rPr>
          <w:i/>
          <w:spacing w:val="-10"/>
        </w:rPr>
        <w:t xml:space="preserve"> </w:t>
      </w:r>
      <w:r>
        <w:rPr>
          <w:i/>
        </w:rPr>
        <w:t>of</w:t>
      </w:r>
      <w:r>
        <w:rPr>
          <w:i/>
          <w:spacing w:val="-11"/>
        </w:rPr>
        <w:t xml:space="preserve"> </w:t>
      </w:r>
      <w:r>
        <w:rPr>
          <w:i/>
        </w:rPr>
        <w:t>vocational</w:t>
      </w:r>
      <w:r>
        <w:rPr>
          <w:i/>
          <w:spacing w:val="-13"/>
        </w:rPr>
        <w:t xml:space="preserve"> </w:t>
      </w:r>
      <w:r>
        <w:rPr>
          <w:i/>
        </w:rPr>
        <w:t>education</w:t>
      </w:r>
      <w:r>
        <w:rPr>
          <w:i/>
          <w:spacing w:val="-14"/>
        </w:rPr>
        <w:t xml:space="preserve"> </w:t>
      </w:r>
      <w:r>
        <w:rPr>
          <w:i/>
        </w:rPr>
        <w:t>and</w:t>
      </w:r>
      <w:r>
        <w:rPr>
          <w:i/>
          <w:spacing w:val="-10"/>
        </w:rPr>
        <w:t xml:space="preserve"> </w:t>
      </w:r>
      <w:r>
        <w:rPr>
          <w:i/>
        </w:rPr>
        <w:t>training</w:t>
      </w:r>
      <w:r>
        <w:rPr>
          <w:i/>
          <w:spacing w:val="-10"/>
        </w:rPr>
        <w:t xml:space="preserve"> </w:t>
      </w:r>
      <w:r>
        <w:rPr>
          <w:i/>
        </w:rPr>
        <w:t>in</w:t>
      </w:r>
      <w:r>
        <w:rPr>
          <w:i/>
          <w:spacing w:val="-10"/>
        </w:rPr>
        <w:t xml:space="preserve"> </w:t>
      </w:r>
      <w:r>
        <w:rPr>
          <w:i/>
        </w:rPr>
        <w:t>Europe</w:t>
      </w:r>
      <w:r>
        <w:rPr>
          <w:i/>
          <w:spacing w:val="-10"/>
        </w:rPr>
        <w:t xml:space="preserve"> </w:t>
      </w:r>
      <w:r>
        <w:rPr>
          <w:i/>
        </w:rPr>
        <w:t>Volume</w:t>
      </w:r>
      <w:r>
        <w:rPr>
          <w:i/>
          <w:spacing w:val="-10"/>
        </w:rPr>
        <w:t xml:space="preserve"> </w:t>
      </w:r>
      <w:r>
        <w:rPr>
          <w:i/>
        </w:rPr>
        <w:t>1</w:t>
      </w:r>
      <w:r>
        <w:rPr>
          <w:i/>
          <w:spacing w:val="-10"/>
        </w:rPr>
        <w:t xml:space="preserve"> </w:t>
      </w:r>
      <w:r>
        <w:rPr>
          <w:i/>
        </w:rPr>
        <w:t>The</w:t>
      </w:r>
      <w:r>
        <w:rPr>
          <w:i/>
          <w:spacing w:val="-10"/>
        </w:rPr>
        <w:t xml:space="preserve"> </w:t>
      </w:r>
      <w:r>
        <w:rPr>
          <w:i/>
        </w:rPr>
        <w:t>changing</w:t>
      </w:r>
      <w:r>
        <w:rPr>
          <w:i/>
          <w:spacing w:val="-10"/>
        </w:rPr>
        <w:t xml:space="preserve"> </w:t>
      </w:r>
      <w:r>
        <w:rPr>
          <w:i/>
        </w:rPr>
        <w:t>content</w:t>
      </w:r>
      <w:r>
        <w:rPr>
          <w:i/>
          <w:spacing w:val="-11"/>
        </w:rPr>
        <w:t xml:space="preserve"> </w:t>
      </w:r>
      <w:r>
        <w:rPr>
          <w:i/>
        </w:rPr>
        <w:t>and profile of VET: epistemological challenges and opportunities</w:t>
      </w:r>
      <w:r>
        <w:t>.</w:t>
      </w:r>
      <w:r>
        <w:rPr>
          <w:b/>
          <w:vertAlign w:val="superscript"/>
        </w:rPr>
        <w:t>1</w:t>
      </w:r>
    </w:p>
    <w:p w14:paraId="749DC8E0" w14:textId="77777777" w:rsidR="000E61B1" w:rsidRDefault="00000000">
      <w:pPr>
        <w:pStyle w:val="BodyText"/>
        <w:spacing w:before="170" w:line="259" w:lineRule="auto"/>
        <w:ind w:left="220" w:right="210"/>
        <w:jc w:val="both"/>
      </w:pPr>
      <w:r>
        <w:t>A</w:t>
      </w:r>
      <w:r>
        <w:rPr>
          <w:spacing w:val="-16"/>
        </w:rPr>
        <w:t xml:space="preserve"> </w:t>
      </w:r>
      <w:r>
        <w:t>very</w:t>
      </w:r>
      <w:r>
        <w:rPr>
          <w:spacing w:val="-15"/>
        </w:rPr>
        <w:t xml:space="preserve"> </w:t>
      </w:r>
      <w:r>
        <w:t>up</w:t>
      </w:r>
      <w:r>
        <w:rPr>
          <w:spacing w:val="-15"/>
        </w:rPr>
        <w:t xml:space="preserve"> </w:t>
      </w:r>
      <w:r>
        <w:t>to</w:t>
      </w:r>
      <w:r>
        <w:rPr>
          <w:spacing w:val="-16"/>
        </w:rPr>
        <w:t xml:space="preserve"> </w:t>
      </w:r>
      <w:r>
        <w:t>date</w:t>
      </w:r>
      <w:r>
        <w:rPr>
          <w:spacing w:val="-15"/>
        </w:rPr>
        <w:t xml:space="preserve"> </w:t>
      </w:r>
      <w:r>
        <w:t>and</w:t>
      </w:r>
      <w:r>
        <w:rPr>
          <w:spacing w:val="-15"/>
        </w:rPr>
        <w:t xml:space="preserve"> </w:t>
      </w:r>
      <w:r>
        <w:t>detailed</w:t>
      </w:r>
      <w:r>
        <w:rPr>
          <w:spacing w:val="-15"/>
        </w:rPr>
        <w:t xml:space="preserve"> </w:t>
      </w:r>
      <w:r>
        <w:t>analysis</w:t>
      </w:r>
      <w:r>
        <w:rPr>
          <w:spacing w:val="-16"/>
        </w:rPr>
        <w:t xml:space="preserve"> </w:t>
      </w:r>
      <w:r>
        <w:t>of</w:t>
      </w:r>
      <w:r>
        <w:rPr>
          <w:spacing w:val="-15"/>
        </w:rPr>
        <w:t xml:space="preserve"> </w:t>
      </w:r>
      <w:r>
        <w:t>the</w:t>
      </w:r>
      <w:r>
        <w:rPr>
          <w:spacing w:val="-15"/>
        </w:rPr>
        <w:t xml:space="preserve"> </w:t>
      </w:r>
      <w:r>
        <w:t>epistemological</w:t>
      </w:r>
      <w:r>
        <w:rPr>
          <w:spacing w:val="-16"/>
        </w:rPr>
        <w:t xml:space="preserve"> </w:t>
      </w:r>
      <w:r>
        <w:t>and</w:t>
      </w:r>
      <w:r>
        <w:rPr>
          <w:spacing w:val="-15"/>
        </w:rPr>
        <w:t xml:space="preserve"> </w:t>
      </w:r>
      <w:r>
        <w:t>pedagogical-didactical</w:t>
      </w:r>
      <w:r>
        <w:rPr>
          <w:spacing w:val="-15"/>
        </w:rPr>
        <w:t xml:space="preserve"> </w:t>
      </w:r>
      <w:r>
        <w:t>basis underpinning vocational education and training at upper secondary level in Europe. It looks particularly</w:t>
      </w:r>
      <w:r>
        <w:rPr>
          <w:spacing w:val="-4"/>
        </w:rPr>
        <w:t xml:space="preserve"> </w:t>
      </w:r>
      <w:r>
        <w:t>at</w:t>
      </w:r>
      <w:r>
        <w:rPr>
          <w:spacing w:val="-10"/>
        </w:rPr>
        <w:t xml:space="preserve"> </w:t>
      </w:r>
      <w:r>
        <w:t>how</w:t>
      </w:r>
      <w:r>
        <w:rPr>
          <w:spacing w:val="-12"/>
        </w:rPr>
        <w:t xml:space="preserve"> </w:t>
      </w:r>
      <w:r>
        <w:t>knowledge,</w:t>
      </w:r>
      <w:r>
        <w:rPr>
          <w:spacing w:val="-5"/>
        </w:rPr>
        <w:t xml:space="preserve"> </w:t>
      </w:r>
      <w:r>
        <w:t>skills</w:t>
      </w:r>
      <w:r>
        <w:rPr>
          <w:spacing w:val="-6"/>
        </w:rPr>
        <w:t xml:space="preserve"> </w:t>
      </w:r>
      <w:r>
        <w:t>and</w:t>
      </w:r>
      <w:r>
        <w:rPr>
          <w:spacing w:val="-4"/>
        </w:rPr>
        <w:t xml:space="preserve"> </w:t>
      </w:r>
      <w:r>
        <w:t>competences</w:t>
      </w:r>
      <w:r>
        <w:rPr>
          <w:spacing w:val="-11"/>
        </w:rPr>
        <w:t xml:space="preserve"> </w:t>
      </w:r>
      <w:r>
        <w:t>are</w:t>
      </w:r>
      <w:r>
        <w:rPr>
          <w:spacing w:val="-9"/>
        </w:rPr>
        <w:t xml:space="preserve"> </w:t>
      </w:r>
      <w:r>
        <w:t>differentiated</w:t>
      </w:r>
      <w:r>
        <w:rPr>
          <w:spacing w:val="-1"/>
        </w:rPr>
        <w:t xml:space="preserve"> </w:t>
      </w:r>
      <w:r>
        <w:t>in</w:t>
      </w:r>
      <w:r>
        <w:rPr>
          <w:spacing w:val="-4"/>
        </w:rPr>
        <w:t xml:space="preserve"> </w:t>
      </w:r>
      <w:r>
        <w:t>curricula,</w:t>
      </w:r>
      <w:r>
        <w:rPr>
          <w:spacing w:val="-5"/>
        </w:rPr>
        <w:t xml:space="preserve"> </w:t>
      </w:r>
      <w:r>
        <w:t>and</w:t>
      </w:r>
      <w:r>
        <w:rPr>
          <w:spacing w:val="-9"/>
        </w:rPr>
        <w:t xml:space="preserve"> </w:t>
      </w:r>
      <w:r>
        <w:t>how the balance between occupation-specific skills, general subjects and transversal skills has evolved since the mid-1990s.</w:t>
      </w:r>
    </w:p>
    <w:p w14:paraId="643037A1" w14:textId="77777777" w:rsidR="000E61B1" w:rsidRDefault="00000000">
      <w:pPr>
        <w:spacing w:before="156" w:line="259" w:lineRule="auto"/>
        <w:ind w:left="220" w:right="210"/>
        <w:jc w:val="both"/>
      </w:pPr>
      <w:r>
        <w:pict w14:anchorId="440A54A6">
          <v:rect id="docshape1" o:spid="_x0000_s2061" style="position:absolute;left:0;text-align:left;margin-left:486.7pt;margin-top:33pt;width:2.4pt;height:.7pt;z-index:-15894528;mso-position-horizontal-relative:page" fillcolor="blue" stroked="f">
            <w10:wrap anchorx="page"/>
          </v:rect>
        </w:pict>
      </w:r>
      <w:r>
        <w:rPr>
          <w:i/>
        </w:rPr>
        <w:t>Championing the Skills Revolution: Evidence on bridging skills gaps through vocational education</w:t>
      </w:r>
      <w:r>
        <w:rPr>
          <w:i/>
          <w:spacing w:val="-14"/>
        </w:rPr>
        <w:t xml:space="preserve"> </w:t>
      </w:r>
      <w:r>
        <w:rPr>
          <w:i/>
        </w:rPr>
        <w:t>and</w:t>
      </w:r>
      <w:r>
        <w:rPr>
          <w:i/>
          <w:spacing w:val="-11"/>
        </w:rPr>
        <w:t xml:space="preserve"> </w:t>
      </w:r>
      <w:r>
        <w:rPr>
          <w:i/>
        </w:rPr>
        <w:t>training</w:t>
      </w:r>
      <w:r>
        <w:rPr>
          <w:i/>
          <w:spacing w:val="-9"/>
        </w:rPr>
        <w:t xml:space="preserve"> </w:t>
      </w:r>
      <w:r>
        <w:rPr>
          <w:i/>
        </w:rPr>
        <w:t>in</w:t>
      </w:r>
      <w:r>
        <w:rPr>
          <w:i/>
          <w:spacing w:val="-14"/>
        </w:rPr>
        <w:t xml:space="preserve"> </w:t>
      </w:r>
      <w:r>
        <w:rPr>
          <w:i/>
        </w:rPr>
        <w:t>the</w:t>
      </w:r>
      <w:r>
        <w:rPr>
          <w:i/>
          <w:spacing w:val="-14"/>
        </w:rPr>
        <w:t xml:space="preserve"> </w:t>
      </w:r>
      <w:r>
        <w:rPr>
          <w:i/>
        </w:rPr>
        <w:t>green</w:t>
      </w:r>
      <w:r>
        <w:rPr>
          <w:i/>
          <w:spacing w:val="-14"/>
        </w:rPr>
        <w:t xml:space="preserve"> </w:t>
      </w:r>
      <w:r>
        <w:rPr>
          <w:i/>
        </w:rPr>
        <w:t>and</w:t>
      </w:r>
      <w:r>
        <w:rPr>
          <w:i/>
          <w:spacing w:val="-14"/>
        </w:rPr>
        <w:t xml:space="preserve"> </w:t>
      </w:r>
      <w:r>
        <w:rPr>
          <w:i/>
        </w:rPr>
        <w:t>digital</w:t>
      </w:r>
      <w:r>
        <w:rPr>
          <w:i/>
          <w:spacing w:val="-12"/>
        </w:rPr>
        <w:t xml:space="preserve"> </w:t>
      </w:r>
      <w:r>
        <w:rPr>
          <w:i/>
        </w:rPr>
        <w:t>transition:</w:t>
      </w:r>
      <w:r>
        <w:rPr>
          <w:i/>
          <w:spacing w:val="-15"/>
        </w:rPr>
        <w:t xml:space="preserve"> </w:t>
      </w:r>
      <w:proofErr w:type="spellStart"/>
      <w:r>
        <w:rPr>
          <w:i/>
        </w:rPr>
        <w:t>Cedefop</w:t>
      </w:r>
      <w:proofErr w:type="spellEnd"/>
      <w:r>
        <w:rPr>
          <w:i/>
          <w:spacing w:val="-14"/>
        </w:rPr>
        <w:t xml:space="preserve"> </w:t>
      </w:r>
      <w:r>
        <w:rPr>
          <w:i/>
        </w:rPr>
        <w:t>highlights</w:t>
      </w:r>
      <w:r>
        <w:rPr>
          <w:i/>
          <w:spacing w:val="-16"/>
        </w:rPr>
        <w:t xml:space="preserve"> </w:t>
      </w:r>
      <w:r>
        <w:rPr>
          <w:i/>
        </w:rPr>
        <w:t>2021-22</w:t>
      </w:r>
      <w:r>
        <w:rPr>
          <w:b/>
        </w:rPr>
        <w:t>.</w:t>
      </w:r>
      <w:r>
        <w:rPr>
          <w:b/>
          <w:vertAlign w:val="superscript"/>
        </w:rPr>
        <w:t>2</w:t>
      </w:r>
      <w:r>
        <w:rPr>
          <w:b/>
          <w:spacing w:val="36"/>
        </w:rPr>
        <w:t xml:space="preserve"> </w:t>
      </w:r>
      <w:r>
        <w:t>A</w:t>
      </w:r>
      <w:r>
        <w:rPr>
          <w:spacing w:val="-10"/>
        </w:rPr>
        <w:t xml:space="preserve"> </w:t>
      </w:r>
      <w:r>
        <w:t>short summary of the role being played by providers of vocational education and training (VET) in shaping the EU’s post-pandemic recovery.</w:t>
      </w:r>
    </w:p>
    <w:p w14:paraId="28D2F7E0" w14:textId="77777777" w:rsidR="000E61B1" w:rsidRDefault="000E61B1">
      <w:pPr>
        <w:pStyle w:val="BodyText"/>
        <w:rPr>
          <w:sz w:val="24"/>
        </w:rPr>
      </w:pPr>
    </w:p>
    <w:p w14:paraId="407C24CA" w14:textId="77777777" w:rsidR="000E61B1" w:rsidRDefault="00000000">
      <w:pPr>
        <w:pStyle w:val="BodyText"/>
        <w:spacing w:before="158" w:line="259" w:lineRule="auto"/>
        <w:ind w:left="220" w:right="209"/>
        <w:jc w:val="both"/>
      </w:pPr>
      <w:r>
        <w:t>Numerous</w:t>
      </w:r>
      <w:r>
        <w:rPr>
          <w:spacing w:val="-1"/>
        </w:rPr>
        <w:t xml:space="preserve"> </w:t>
      </w:r>
      <w:r>
        <w:t>resources</w:t>
      </w:r>
      <w:r>
        <w:rPr>
          <w:spacing w:val="-6"/>
        </w:rPr>
        <w:t xml:space="preserve"> </w:t>
      </w:r>
      <w:r>
        <w:t>from the</w:t>
      </w:r>
      <w:r>
        <w:rPr>
          <w:spacing w:val="-4"/>
        </w:rPr>
        <w:t xml:space="preserve"> </w:t>
      </w:r>
      <w:r>
        <w:t xml:space="preserve">online </w:t>
      </w:r>
      <w:r>
        <w:rPr>
          <w:b/>
        </w:rPr>
        <w:t>OECD</w:t>
      </w:r>
      <w:r>
        <w:rPr>
          <w:b/>
          <w:spacing w:val="-2"/>
        </w:rPr>
        <w:t xml:space="preserve"> </w:t>
      </w:r>
      <w:r>
        <w:rPr>
          <w:b/>
        </w:rPr>
        <w:t>I Library</w:t>
      </w:r>
      <w:r>
        <w:rPr>
          <w:b/>
          <w:spacing w:val="-2"/>
        </w:rPr>
        <w:t xml:space="preserve"> </w:t>
      </w:r>
      <w:r>
        <w:t>were cited in the original</w:t>
      </w:r>
      <w:r>
        <w:rPr>
          <w:spacing w:val="-7"/>
        </w:rPr>
        <w:t xml:space="preserve"> </w:t>
      </w:r>
      <w:r>
        <w:t xml:space="preserve">SIS research. A recently published report, </w:t>
      </w:r>
      <w:r>
        <w:rPr>
          <w:i/>
        </w:rPr>
        <w:t>Education</w:t>
      </w:r>
      <w:r>
        <w:rPr>
          <w:i/>
          <w:spacing w:val="-3"/>
        </w:rPr>
        <w:t xml:space="preserve"> </w:t>
      </w:r>
      <w:proofErr w:type="gramStart"/>
      <w:r>
        <w:rPr>
          <w:i/>
        </w:rPr>
        <w:t>at</w:t>
      </w:r>
      <w:r>
        <w:rPr>
          <w:i/>
          <w:spacing w:val="-4"/>
        </w:rPr>
        <w:t xml:space="preserve"> </w:t>
      </w:r>
      <w:r>
        <w:rPr>
          <w:i/>
        </w:rPr>
        <w:t>a Glance</w:t>
      </w:r>
      <w:proofErr w:type="gramEnd"/>
      <w:r>
        <w:rPr>
          <w:i/>
        </w:rPr>
        <w:t xml:space="preserve"> 2021. OECD</w:t>
      </w:r>
      <w:r>
        <w:rPr>
          <w:i/>
          <w:spacing w:val="-1"/>
        </w:rPr>
        <w:t xml:space="preserve"> </w:t>
      </w:r>
      <w:r>
        <w:rPr>
          <w:i/>
        </w:rPr>
        <w:t>Indicators</w:t>
      </w:r>
      <w:r>
        <w:t>.</w:t>
      </w:r>
      <w:r>
        <w:rPr>
          <w:vertAlign w:val="superscript"/>
        </w:rPr>
        <w:t>3</w:t>
      </w:r>
      <w:r>
        <w:rPr>
          <w:spacing w:val="-1"/>
        </w:rPr>
        <w:t xml:space="preserve"> </w:t>
      </w:r>
      <w:r>
        <w:t>is cited as</w:t>
      </w:r>
      <w:r>
        <w:rPr>
          <w:spacing w:val="-5"/>
        </w:rPr>
        <w:t xml:space="preserve"> </w:t>
      </w:r>
      <w:r>
        <w:t xml:space="preserve">being </w:t>
      </w:r>
      <w:r>
        <w:rPr>
          <w:i/>
        </w:rPr>
        <w:t>“the</w:t>
      </w:r>
      <w:r>
        <w:rPr>
          <w:i/>
          <w:spacing w:val="-16"/>
        </w:rPr>
        <w:t xml:space="preserve"> </w:t>
      </w:r>
      <w:r>
        <w:rPr>
          <w:i/>
        </w:rPr>
        <w:t>authoritative</w:t>
      </w:r>
      <w:r>
        <w:rPr>
          <w:i/>
          <w:spacing w:val="-15"/>
        </w:rPr>
        <w:t xml:space="preserve"> </w:t>
      </w:r>
      <w:r>
        <w:rPr>
          <w:i/>
        </w:rPr>
        <w:t>source</w:t>
      </w:r>
      <w:r>
        <w:rPr>
          <w:i/>
          <w:spacing w:val="-15"/>
        </w:rPr>
        <w:t xml:space="preserve"> </w:t>
      </w:r>
      <w:r>
        <w:rPr>
          <w:i/>
        </w:rPr>
        <w:t>for</w:t>
      </w:r>
      <w:r>
        <w:rPr>
          <w:i/>
          <w:spacing w:val="-16"/>
        </w:rPr>
        <w:t xml:space="preserve"> </w:t>
      </w:r>
      <w:r>
        <w:rPr>
          <w:i/>
        </w:rPr>
        <w:t>information</w:t>
      </w:r>
      <w:r>
        <w:rPr>
          <w:i/>
          <w:spacing w:val="-15"/>
        </w:rPr>
        <w:t xml:space="preserve"> </w:t>
      </w:r>
      <w:r>
        <w:rPr>
          <w:i/>
        </w:rPr>
        <w:t>on</w:t>
      </w:r>
      <w:r>
        <w:rPr>
          <w:i/>
          <w:spacing w:val="-15"/>
        </w:rPr>
        <w:t xml:space="preserve"> </w:t>
      </w:r>
      <w:r>
        <w:rPr>
          <w:i/>
        </w:rPr>
        <w:t>the</w:t>
      </w:r>
      <w:r>
        <w:rPr>
          <w:i/>
          <w:spacing w:val="-15"/>
        </w:rPr>
        <w:t xml:space="preserve"> </w:t>
      </w:r>
      <w:r>
        <w:rPr>
          <w:i/>
        </w:rPr>
        <w:t>state</w:t>
      </w:r>
      <w:r>
        <w:rPr>
          <w:i/>
          <w:spacing w:val="-16"/>
        </w:rPr>
        <w:t xml:space="preserve"> </w:t>
      </w:r>
      <w:r>
        <w:rPr>
          <w:i/>
        </w:rPr>
        <w:t>of</w:t>
      </w:r>
      <w:r>
        <w:rPr>
          <w:i/>
          <w:spacing w:val="-15"/>
        </w:rPr>
        <w:t xml:space="preserve"> </w:t>
      </w:r>
      <w:r>
        <w:rPr>
          <w:i/>
        </w:rPr>
        <w:t>education</w:t>
      </w:r>
      <w:r>
        <w:rPr>
          <w:i/>
          <w:spacing w:val="-15"/>
        </w:rPr>
        <w:t xml:space="preserve"> </w:t>
      </w:r>
      <w:r>
        <w:rPr>
          <w:i/>
        </w:rPr>
        <w:t>around</w:t>
      </w:r>
      <w:r>
        <w:rPr>
          <w:i/>
          <w:spacing w:val="-14"/>
        </w:rPr>
        <w:t xml:space="preserve"> </w:t>
      </w:r>
      <w:r>
        <w:rPr>
          <w:i/>
        </w:rPr>
        <w:t>the</w:t>
      </w:r>
      <w:r>
        <w:rPr>
          <w:i/>
          <w:spacing w:val="-14"/>
        </w:rPr>
        <w:t xml:space="preserve"> </w:t>
      </w:r>
      <w:r>
        <w:rPr>
          <w:i/>
        </w:rPr>
        <w:t>world.”</w:t>
      </w:r>
      <w:r>
        <w:rPr>
          <w:i/>
          <w:spacing w:val="-12"/>
        </w:rPr>
        <w:t xml:space="preserve"> </w:t>
      </w:r>
      <w:r>
        <w:t>It</w:t>
      </w:r>
      <w:r>
        <w:rPr>
          <w:spacing w:val="-16"/>
        </w:rPr>
        <w:t xml:space="preserve"> </w:t>
      </w:r>
      <w:r>
        <w:t>provides data</w:t>
      </w:r>
      <w:r>
        <w:rPr>
          <w:spacing w:val="-16"/>
        </w:rPr>
        <w:t xml:space="preserve"> </w:t>
      </w:r>
      <w:r>
        <w:t>on</w:t>
      </w:r>
      <w:r>
        <w:rPr>
          <w:spacing w:val="-14"/>
        </w:rPr>
        <w:t xml:space="preserve"> </w:t>
      </w:r>
      <w:r>
        <w:t>the</w:t>
      </w:r>
      <w:r>
        <w:rPr>
          <w:spacing w:val="-12"/>
        </w:rPr>
        <w:t xml:space="preserve"> </w:t>
      </w:r>
      <w:r>
        <w:t>structure,</w:t>
      </w:r>
      <w:r>
        <w:rPr>
          <w:spacing w:val="-16"/>
        </w:rPr>
        <w:t xml:space="preserve"> </w:t>
      </w:r>
      <w:proofErr w:type="gramStart"/>
      <w:r>
        <w:t>finances</w:t>
      </w:r>
      <w:proofErr w:type="gramEnd"/>
      <w:r>
        <w:rPr>
          <w:spacing w:val="-14"/>
        </w:rPr>
        <w:t xml:space="preserve"> </w:t>
      </w:r>
      <w:r>
        <w:t>and</w:t>
      </w:r>
      <w:r>
        <w:rPr>
          <w:spacing w:val="-13"/>
        </w:rPr>
        <w:t xml:space="preserve"> </w:t>
      </w:r>
      <w:r>
        <w:t>performance</w:t>
      </w:r>
      <w:r>
        <w:rPr>
          <w:spacing w:val="-16"/>
        </w:rPr>
        <w:t xml:space="preserve"> </w:t>
      </w:r>
      <w:r>
        <w:t>of</w:t>
      </w:r>
      <w:r>
        <w:rPr>
          <w:spacing w:val="-15"/>
        </w:rPr>
        <w:t xml:space="preserve"> </w:t>
      </w:r>
      <w:r>
        <w:t>education</w:t>
      </w:r>
      <w:r>
        <w:rPr>
          <w:spacing w:val="-12"/>
        </w:rPr>
        <w:t xml:space="preserve"> </w:t>
      </w:r>
      <w:r>
        <w:t>systems</w:t>
      </w:r>
      <w:r>
        <w:rPr>
          <w:spacing w:val="-15"/>
        </w:rPr>
        <w:t xml:space="preserve"> </w:t>
      </w:r>
      <w:r>
        <w:t>across</w:t>
      </w:r>
      <w:r>
        <w:rPr>
          <w:spacing w:val="-15"/>
        </w:rPr>
        <w:t xml:space="preserve"> </w:t>
      </w:r>
      <w:r>
        <w:t>OECD</w:t>
      </w:r>
      <w:r>
        <w:rPr>
          <w:spacing w:val="-16"/>
        </w:rPr>
        <w:t xml:space="preserve"> </w:t>
      </w:r>
      <w:r>
        <w:t>countries and a number</w:t>
      </w:r>
      <w:r>
        <w:rPr>
          <w:spacing w:val="-3"/>
        </w:rPr>
        <w:t xml:space="preserve"> </w:t>
      </w:r>
      <w:r>
        <w:t>of partner</w:t>
      </w:r>
      <w:r>
        <w:rPr>
          <w:spacing w:val="-3"/>
        </w:rPr>
        <w:t xml:space="preserve"> </w:t>
      </w:r>
      <w:r>
        <w:t>economies. More than 100 charts</w:t>
      </w:r>
      <w:r>
        <w:rPr>
          <w:spacing w:val="-1"/>
        </w:rPr>
        <w:t xml:space="preserve"> </w:t>
      </w:r>
      <w:r>
        <w:t>and tables</w:t>
      </w:r>
      <w:r>
        <w:rPr>
          <w:spacing w:val="-1"/>
        </w:rPr>
        <w:t xml:space="preserve"> </w:t>
      </w:r>
      <w:r>
        <w:t>in this</w:t>
      </w:r>
      <w:r>
        <w:rPr>
          <w:spacing w:val="-1"/>
        </w:rPr>
        <w:t xml:space="preserve"> </w:t>
      </w:r>
      <w:r>
        <w:t>publication –</w:t>
      </w:r>
      <w:r>
        <w:rPr>
          <w:spacing w:val="-4"/>
        </w:rPr>
        <w:t xml:space="preserve"> </w:t>
      </w:r>
      <w:r>
        <w:t>as well as links to much more available on the educational database – provides the reader with key information on the output of educational institutions; the impact of learning across countries;</w:t>
      </w:r>
      <w:r>
        <w:rPr>
          <w:spacing w:val="-14"/>
        </w:rPr>
        <w:t xml:space="preserve"> </w:t>
      </w:r>
      <w:r>
        <w:t>access,</w:t>
      </w:r>
      <w:r>
        <w:rPr>
          <w:spacing w:val="-9"/>
        </w:rPr>
        <w:t xml:space="preserve"> </w:t>
      </w:r>
      <w:proofErr w:type="gramStart"/>
      <w:r>
        <w:t>participation</w:t>
      </w:r>
      <w:proofErr w:type="gramEnd"/>
      <w:r>
        <w:rPr>
          <w:spacing w:val="-13"/>
        </w:rPr>
        <w:t xml:space="preserve"> </w:t>
      </w:r>
      <w:r>
        <w:t>and</w:t>
      </w:r>
      <w:r>
        <w:rPr>
          <w:spacing w:val="-8"/>
        </w:rPr>
        <w:t xml:space="preserve"> </w:t>
      </w:r>
      <w:r>
        <w:t>progression</w:t>
      </w:r>
      <w:r>
        <w:rPr>
          <w:spacing w:val="-8"/>
        </w:rPr>
        <w:t xml:space="preserve"> </w:t>
      </w:r>
      <w:r>
        <w:t>in</w:t>
      </w:r>
      <w:r>
        <w:rPr>
          <w:spacing w:val="-13"/>
        </w:rPr>
        <w:t xml:space="preserve"> </w:t>
      </w:r>
      <w:r>
        <w:t>education;</w:t>
      </w:r>
      <w:r>
        <w:rPr>
          <w:spacing w:val="-9"/>
        </w:rPr>
        <w:t xml:space="preserve"> </w:t>
      </w:r>
      <w:r>
        <w:t>the</w:t>
      </w:r>
      <w:r>
        <w:rPr>
          <w:spacing w:val="-8"/>
        </w:rPr>
        <w:t xml:space="preserve"> </w:t>
      </w:r>
      <w:r>
        <w:t>financial</w:t>
      </w:r>
      <w:r>
        <w:rPr>
          <w:spacing w:val="-11"/>
        </w:rPr>
        <w:t xml:space="preserve"> </w:t>
      </w:r>
      <w:r>
        <w:t>resources</w:t>
      </w:r>
      <w:r>
        <w:rPr>
          <w:spacing w:val="-10"/>
        </w:rPr>
        <w:t xml:space="preserve"> </w:t>
      </w:r>
      <w:r>
        <w:t xml:space="preserve">invested in education; and teachers, the learning environment and the </w:t>
      </w:r>
      <w:proofErr w:type="spellStart"/>
      <w:r>
        <w:t>organisation</w:t>
      </w:r>
      <w:proofErr w:type="spellEnd"/>
      <w:r>
        <w:t xml:space="preserve"> of schools.</w:t>
      </w:r>
    </w:p>
    <w:p w14:paraId="759C401B" w14:textId="77777777" w:rsidR="000E61B1" w:rsidRDefault="000E61B1">
      <w:pPr>
        <w:pStyle w:val="BodyText"/>
        <w:spacing w:before="8"/>
        <w:rPr>
          <w:sz w:val="23"/>
        </w:rPr>
      </w:pPr>
    </w:p>
    <w:p w14:paraId="06544D24" w14:textId="77777777" w:rsidR="000E61B1" w:rsidRDefault="00000000">
      <w:pPr>
        <w:pStyle w:val="BodyText"/>
        <w:spacing w:line="259" w:lineRule="auto"/>
        <w:ind w:left="220" w:right="209"/>
        <w:jc w:val="both"/>
      </w:pPr>
      <w:r>
        <w:t xml:space="preserve">The 2021 edition includes a focus on equity, investigating how progress through education and the associated learning and </w:t>
      </w:r>
      <w:proofErr w:type="spellStart"/>
      <w:r>
        <w:t>labour</w:t>
      </w:r>
      <w:proofErr w:type="spellEnd"/>
      <w:r>
        <w:t xml:space="preserve"> market outcomes are impacted by dimensions such as</w:t>
      </w:r>
      <w:r>
        <w:rPr>
          <w:spacing w:val="-1"/>
        </w:rPr>
        <w:t xml:space="preserve"> </w:t>
      </w:r>
      <w:r>
        <w:t>gender,</w:t>
      </w:r>
      <w:r>
        <w:rPr>
          <w:spacing w:val="-5"/>
        </w:rPr>
        <w:t xml:space="preserve"> </w:t>
      </w:r>
      <w:r>
        <w:t>socio-economic</w:t>
      </w:r>
      <w:r>
        <w:rPr>
          <w:spacing w:val="-6"/>
        </w:rPr>
        <w:t xml:space="preserve"> </w:t>
      </w:r>
      <w:r>
        <w:t>status, country</w:t>
      </w:r>
      <w:r>
        <w:rPr>
          <w:spacing w:val="-1"/>
        </w:rPr>
        <w:t xml:space="preserve"> </w:t>
      </w:r>
      <w:r>
        <w:t>of birth</w:t>
      </w:r>
      <w:r>
        <w:rPr>
          <w:spacing w:val="-4"/>
        </w:rPr>
        <w:t xml:space="preserve"> </w:t>
      </w:r>
      <w:r>
        <w:t>and regional</w:t>
      </w:r>
      <w:r>
        <w:rPr>
          <w:spacing w:val="-2"/>
        </w:rPr>
        <w:t xml:space="preserve"> </w:t>
      </w:r>
      <w:r>
        <w:t>location. A</w:t>
      </w:r>
      <w:r>
        <w:rPr>
          <w:spacing w:val="-5"/>
        </w:rPr>
        <w:t xml:space="preserve"> </w:t>
      </w:r>
      <w:r>
        <w:t>specific</w:t>
      </w:r>
      <w:r>
        <w:rPr>
          <w:spacing w:val="-1"/>
        </w:rPr>
        <w:t xml:space="preserve"> </w:t>
      </w:r>
      <w:r>
        <w:t>chapter</w:t>
      </w:r>
      <w:r>
        <w:rPr>
          <w:spacing w:val="-3"/>
        </w:rPr>
        <w:t xml:space="preserve"> </w:t>
      </w:r>
      <w:r>
        <w:t>is dedicated to Target 4.5 of the Sustainable Development Goal 4 on equity in education, providing an assessment of where OECD and partner countries stand in providing equal access</w:t>
      </w:r>
      <w:r>
        <w:rPr>
          <w:spacing w:val="-9"/>
        </w:rPr>
        <w:t xml:space="preserve"> </w:t>
      </w:r>
      <w:r>
        <w:t>to</w:t>
      </w:r>
      <w:r>
        <w:rPr>
          <w:spacing w:val="-7"/>
        </w:rPr>
        <w:t xml:space="preserve"> </w:t>
      </w:r>
      <w:r>
        <w:t>quality</w:t>
      </w:r>
      <w:r>
        <w:rPr>
          <w:spacing w:val="-9"/>
        </w:rPr>
        <w:t xml:space="preserve"> </w:t>
      </w:r>
      <w:r>
        <w:t>education</w:t>
      </w:r>
      <w:r>
        <w:rPr>
          <w:spacing w:val="-7"/>
        </w:rPr>
        <w:t xml:space="preserve"> </w:t>
      </w:r>
      <w:r>
        <w:t>at</w:t>
      </w:r>
      <w:r>
        <w:rPr>
          <w:spacing w:val="-8"/>
        </w:rPr>
        <w:t xml:space="preserve"> </w:t>
      </w:r>
      <w:r>
        <w:t>all</w:t>
      </w:r>
      <w:r>
        <w:rPr>
          <w:spacing w:val="-5"/>
        </w:rPr>
        <w:t xml:space="preserve"> </w:t>
      </w:r>
      <w:r>
        <w:t>levels.</w:t>
      </w:r>
      <w:r>
        <w:rPr>
          <w:spacing w:val="-3"/>
        </w:rPr>
        <w:t xml:space="preserve"> </w:t>
      </w:r>
      <w:r>
        <w:t>Two</w:t>
      </w:r>
      <w:r>
        <w:rPr>
          <w:spacing w:val="-7"/>
        </w:rPr>
        <w:t xml:space="preserve"> </w:t>
      </w:r>
      <w:r>
        <w:t>new</w:t>
      </w:r>
      <w:r>
        <w:rPr>
          <w:spacing w:val="-5"/>
        </w:rPr>
        <w:t xml:space="preserve"> </w:t>
      </w:r>
      <w:r>
        <w:t>indicators</w:t>
      </w:r>
      <w:r>
        <w:rPr>
          <w:spacing w:val="-9"/>
        </w:rPr>
        <w:t xml:space="preserve"> </w:t>
      </w:r>
      <w:r>
        <w:t>on</w:t>
      </w:r>
      <w:r>
        <w:rPr>
          <w:spacing w:val="-7"/>
        </w:rPr>
        <w:t xml:space="preserve"> </w:t>
      </w:r>
      <w:r>
        <w:t>the</w:t>
      </w:r>
      <w:r>
        <w:rPr>
          <w:spacing w:val="-7"/>
        </w:rPr>
        <w:t xml:space="preserve"> </w:t>
      </w:r>
      <w:r>
        <w:t>mechanisms</w:t>
      </w:r>
      <w:r>
        <w:rPr>
          <w:spacing w:val="-9"/>
        </w:rPr>
        <w:t xml:space="preserve"> </w:t>
      </w:r>
      <w:r>
        <w:t>and</w:t>
      </w:r>
      <w:r>
        <w:rPr>
          <w:spacing w:val="-7"/>
        </w:rPr>
        <w:t xml:space="preserve"> </w:t>
      </w:r>
      <w:r>
        <w:t>formulas</w:t>
      </w:r>
    </w:p>
    <w:p w14:paraId="6B1FFEF8" w14:textId="77777777" w:rsidR="000E61B1" w:rsidRDefault="000E61B1">
      <w:pPr>
        <w:pStyle w:val="BodyText"/>
        <w:rPr>
          <w:sz w:val="20"/>
        </w:rPr>
      </w:pPr>
    </w:p>
    <w:p w14:paraId="45856655" w14:textId="77777777" w:rsidR="000E61B1" w:rsidRDefault="000E61B1">
      <w:pPr>
        <w:pStyle w:val="BodyText"/>
        <w:rPr>
          <w:sz w:val="20"/>
        </w:rPr>
      </w:pPr>
    </w:p>
    <w:p w14:paraId="29B396A2" w14:textId="77777777" w:rsidR="000E61B1" w:rsidRDefault="00000000">
      <w:pPr>
        <w:pStyle w:val="BodyText"/>
        <w:spacing w:before="10"/>
      </w:pPr>
      <w:r>
        <w:pict w14:anchorId="5B5E49C2">
          <v:rect id="docshape2" o:spid="_x0000_s2060" style="position:absolute;margin-left:1in;margin-top:14.4pt;width:144.05pt;height:.7pt;z-index:-15728640;mso-wrap-distance-left:0;mso-wrap-distance-right:0;mso-position-horizontal-relative:page" fillcolor="black" stroked="f">
            <w10:wrap type="topAndBottom" anchorx="page"/>
          </v:rect>
        </w:pict>
      </w:r>
    </w:p>
    <w:p w14:paraId="69A690D4" w14:textId="77777777" w:rsidR="000E61B1" w:rsidRDefault="00000000">
      <w:pPr>
        <w:pStyle w:val="BodyText"/>
        <w:spacing w:before="102"/>
        <w:ind w:left="220"/>
      </w:pPr>
      <w:r>
        <w:rPr>
          <w:rFonts w:ascii="Calibri"/>
          <w:vertAlign w:val="superscript"/>
        </w:rPr>
        <w:t>1</w:t>
      </w:r>
      <w:r>
        <w:rPr>
          <w:rFonts w:ascii="Calibri"/>
          <w:spacing w:val="-4"/>
        </w:rPr>
        <w:t xml:space="preserve"> </w:t>
      </w:r>
      <w:hyperlink r:id="rId7">
        <w:r>
          <w:rPr>
            <w:color w:val="0000FF"/>
            <w:u w:val="single" w:color="0000FF"/>
          </w:rPr>
          <w:t>The</w:t>
        </w:r>
        <w:r>
          <w:rPr>
            <w:color w:val="0000FF"/>
            <w:spacing w:val="-2"/>
            <w:u w:val="single" w:color="0000FF"/>
          </w:rPr>
          <w:t xml:space="preserve"> </w:t>
        </w:r>
        <w:r>
          <w:rPr>
            <w:color w:val="0000FF"/>
            <w:u w:val="single" w:color="0000FF"/>
          </w:rPr>
          <w:t>future</w:t>
        </w:r>
        <w:r>
          <w:rPr>
            <w:color w:val="0000FF"/>
            <w:spacing w:val="-6"/>
            <w:u w:val="single" w:color="0000FF"/>
          </w:rPr>
          <w:t xml:space="preserve"> </w:t>
        </w:r>
        <w:r>
          <w:rPr>
            <w:color w:val="0000FF"/>
            <w:u w:val="single" w:color="0000FF"/>
          </w:rPr>
          <w:t>of</w:t>
        </w:r>
        <w:r>
          <w:rPr>
            <w:color w:val="0000FF"/>
            <w:spacing w:val="-2"/>
            <w:u w:val="single" w:color="0000FF"/>
          </w:rPr>
          <w:t xml:space="preserve"> </w:t>
        </w:r>
        <w:r>
          <w:rPr>
            <w:color w:val="0000FF"/>
            <w:u w:val="single" w:color="0000FF"/>
          </w:rPr>
          <w:t>vocational</w:t>
        </w:r>
        <w:r>
          <w:rPr>
            <w:color w:val="0000FF"/>
            <w:spacing w:val="-8"/>
            <w:u w:val="single" w:color="0000FF"/>
          </w:rPr>
          <w:t xml:space="preserve"> </w:t>
        </w:r>
        <w:r>
          <w:rPr>
            <w:color w:val="0000FF"/>
            <w:u w:val="single" w:color="0000FF"/>
          </w:rPr>
          <w:t>education</w:t>
        </w:r>
        <w:r>
          <w:rPr>
            <w:color w:val="0000FF"/>
            <w:spacing w:val="-6"/>
            <w:u w:val="single" w:color="0000FF"/>
          </w:rPr>
          <w:t xml:space="preserve"> </w:t>
        </w:r>
        <w:r>
          <w:rPr>
            <w:color w:val="0000FF"/>
            <w:u w:val="single" w:color="0000FF"/>
          </w:rPr>
          <w:t>and</w:t>
        </w:r>
        <w:r>
          <w:rPr>
            <w:color w:val="0000FF"/>
            <w:spacing w:val="-5"/>
            <w:u w:val="single" w:color="0000FF"/>
          </w:rPr>
          <w:t xml:space="preserve"> </w:t>
        </w:r>
        <w:r>
          <w:rPr>
            <w:color w:val="0000FF"/>
            <w:u w:val="single" w:color="0000FF"/>
          </w:rPr>
          <w:t>training</w:t>
        </w:r>
        <w:r>
          <w:rPr>
            <w:color w:val="0000FF"/>
            <w:spacing w:val="-2"/>
            <w:u w:val="single" w:color="0000FF"/>
          </w:rPr>
          <w:t xml:space="preserve"> </w:t>
        </w:r>
        <w:r>
          <w:rPr>
            <w:color w:val="0000FF"/>
            <w:u w:val="single" w:color="0000FF"/>
          </w:rPr>
          <w:t>in</w:t>
        </w:r>
        <w:r>
          <w:rPr>
            <w:color w:val="0000FF"/>
            <w:spacing w:val="-5"/>
            <w:u w:val="single" w:color="0000FF"/>
          </w:rPr>
          <w:t xml:space="preserve"> </w:t>
        </w:r>
        <w:r>
          <w:rPr>
            <w:color w:val="0000FF"/>
            <w:u w:val="single" w:color="0000FF"/>
          </w:rPr>
          <w:t>Europe.</w:t>
        </w:r>
        <w:r>
          <w:rPr>
            <w:color w:val="0000FF"/>
            <w:spacing w:val="2"/>
            <w:u w:val="single" w:color="0000FF"/>
          </w:rPr>
          <w:t xml:space="preserve"> </w:t>
        </w:r>
        <w:r>
          <w:rPr>
            <w:color w:val="0000FF"/>
            <w:u w:val="single" w:color="0000FF"/>
          </w:rPr>
          <w:t>Volume</w:t>
        </w:r>
        <w:r>
          <w:rPr>
            <w:color w:val="0000FF"/>
            <w:spacing w:val="-5"/>
            <w:u w:val="single" w:color="0000FF"/>
          </w:rPr>
          <w:t xml:space="preserve"> </w:t>
        </w:r>
        <w:r>
          <w:rPr>
            <w:color w:val="0000FF"/>
            <w:u w:val="single" w:color="0000FF"/>
          </w:rPr>
          <w:t>1</w:t>
        </w:r>
        <w:r>
          <w:rPr>
            <w:color w:val="0000FF"/>
            <w:spacing w:val="-2"/>
            <w:u w:val="single" w:color="0000FF"/>
          </w:rPr>
          <w:t xml:space="preserve"> (europa.eu)</w:t>
        </w:r>
      </w:hyperlink>
      <w:r>
        <w:rPr>
          <w:spacing w:val="-2"/>
        </w:rPr>
        <w:t>.</w:t>
      </w:r>
    </w:p>
    <w:p w14:paraId="360EF5E6" w14:textId="77777777" w:rsidR="000E61B1" w:rsidRDefault="000E61B1">
      <w:pPr>
        <w:pStyle w:val="BodyText"/>
        <w:spacing w:before="8"/>
        <w:rPr>
          <w:sz w:val="28"/>
        </w:rPr>
      </w:pPr>
    </w:p>
    <w:p w14:paraId="76FC4D12" w14:textId="77777777" w:rsidR="000E61B1" w:rsidRDefault="00000000">
      <w:pPr>
        <w:spacing w:before="93"/>
        <w:ind w:left="220"/>
        <w:rPr>
          <w:sz w:val="20"/>
        </w:rPr>
      </w:pPr>
      <w:r>
        <w:rPr>
          <w:rFonts w:ascii="Calibri"/>
          <w:sz w:val="20"/>
          <w:vertAlign w:val="superscript"/>
        </w:rPr>
        <w:t>2</w:t>
      </w:r>
      <w:r>
        <w:rPr>
          <w:rFonts w:ascii="Calibri"/>
          <w:spacing w:val="-3"/>
          <w:sz w:val="20"/>
        </w:rPr>
        <w:t xml:space="preserve"> </w:t>
      </w:r>
      <w:hyperlink r:id="rId8">
        <w:r>
          <w:rPr>
            <w:color w:val="0000FF"/>
            <w:sz w:val="20"/>
            <w:u w:val="single" w:color="0000FF"/>
          </w:rPr>
          <w:t>Championing</w:t>
        </w:r>
        <w:r>
          <w:rPr>
            <w:color w:val="0000FF"/>
            <w:spacing w:val="-8"/>
            <w:sz w:val="20"/>
            <w:u w:val="single" w:color="0000FF"/>
          </w:rPr>
          <w:t xml:space="preserve"> </w:t>
        </w:r>
        <w:r>
          <w:rPr>
            <w:color w:val="0000FF"/>
            <w:sz w:val="20"/>
            <w:u w:val="single" w:color="0000FF"/>
          </w:rPr>
          <w:t>the</w:t>
        </w:r>
        <w:r>
          <w:rPr>
            <w:color w:val="0000FF"/>
            <w:spacing w:val="-7"/>
            <w:sz w:val="20"/>
            <w:u w:val="single" w:color="0000FF"/>
          </w:rPr>
          <w:t xml:space="preserve"> </w:t>
        </w:r>
        <w:r>
          <w:rPr>
            <w:color w:val="0000FF"/>
            <w:sz w:val="20"/>
            <w:u w:val="single" w:color="0000FF"/>
          </w:rPr>
          <w:t>skills</w:t>
        </w:r>
        <w:r>
          <w:rPr>
            <w:color w:val="0000FF"/>
            <w:spacing w:val="-7"/>
            <w:sz w:val="20"/>
            <w:u w:val="single" w:color="0000FF"/>
          </w:rPr>
          <w:t xml:space="preserve"> </w:t>
        </w:r>
        <w:r>
          <w:rPr>
            <w:color w:val="0000FF"/>
            <w:sz w:val="20"/>
            <w:u w:val="single" w:color="0000FF"/>
          </w:rPr>
          <w:t>revolution</w:t>
        </w:r>
        <w:r>
          <w:rPr>
            <w:color w:val="0000FF"/>
            <w:spacing w:val="-7"/>
            <w:sz w:val="20"/>
            <w:u w:val="single" w:color="0000FF"/>
          </w:rPr>
          <w:t xml:space="preserve"> </w:t>
        </w:r>
        <w:r>
          <w:rPr>
            <w:color w:val="0000FF"/>
            <w:spacing w:val="-2"/>
            <w:sz w:val="20"/>
            <w:u w:val="single" w:color="0000FF"/>
          </w:rPr>
          <w:t>(europa.eu)</w:t>
        </w:r>
      </w:hyperlink>
    </w:p>
    <w:p w14:paraId="4825A78C" w14:textId="77777777" w:rsidR="000E61B1" w:rsidRDefault="00000000">
      <w:pPr>
        <w:ind w:left="220" w:right="294"/>
        <w:rPr>
          <w:sz w:val="20"/>
        </w:rPr>
      </w:pPr>
      <w:r>
        <w:rPr>
          <w:rFonts w:ascii="Calibri"/>
          <w:sz w:val="20"/>
          <w:vertAlign w:val="superscript"/>
        </w:rPr>
        <w:t>3</w:t>
      </w:r>
      <w:r>
        <w:rPr>
          <w:rFonts w:ascii="Calibri"/>
          <w:sz w:val="20"/>
        </w:rPr>
        <w:t xml:space="preserve"> </w:t>
      </w:r>
      <w:hyperlink r:id="rId9">
        <w:r>
          <w:rPr>
            <w:color w:val="0000FF"/>
            <w:sz w:val="20"/>
            <w:u w:val="single" w:color="0000FF"/>
          </w:rPr>
          <w:t>Education</w:t>
        </w:r>
        <w:r>
          <w:rPr>
            <w:color w:val="0000FF"/>
            <w:spacing w:val="-1"/>
            <w:sz w:val="20"/>
            <w:u w:val="single" w:color="0000FF"/>
          </w:rPr>
          <w:t xml:space="preserve"> </w:t>
        </w:r>
        <w:r>
          <w:rPr>
            <w:color w:val="0000FF"/>
            <w:sz w:val="20"/>
            <w:u w:val="single" w:color="0000FF"/>
          </w:rPr>
          <w:t>at a</w:t>
        </w:r>
        <w:r>
          <w:rPr>
            <w:color w:val="0000FF"/>
            <w:spacing w:val="-5"/>
            <w:sz w:val="20"/>
            <w:u w:val="single" w:color="0000FF"/>
          </w:rPr>
          <w:t xml:space="preserve"> </w:t>
        </w:r>
        <w:r>
          <w:rPr>
            <w:color w:val="0000FF"/>
            <w:sz w:val="20"/>
            <w:u w:val="single" w:color="0000FF"/>
          </w:rPr>
          <w:t>Glance</w:t>
        </w:r>
        <w:r>
          <w:rPr>
            <w:color w:val="0000FF"/>
            <w:spacing w:val="-1"/>
            <w:sz w:val="20"/>
            <w:u w:val="single" w:color="0000FF"/>
          </w:rPr>
          <w:t xml:space="preserve"> </w:t>
        </w:r>
        <w:r>
          <w:rPr>
            <w:color w:val="0000FF"/>
            <w:sz w:val="20"/>
            <w:u w:val="single" w:color="0000FF"/>
          </w:rPr>
          <w:t>2021</w:t>
        </w:r>
        <w:r>
          <w:rPr>
            <w:color w:val="0000FF"/>
            <w:spacing w:val="-1"/>
            <w:sz w:val="20"/>
            <w:u w:val="single" w:color="0000FF"/>
          </w:rPr>
          <w:t xml:space="preserve"> </w:t>
        </w:r>
        <w:r>
          <w:rPr>
            <w:color w:val="0000FF"/>
            <w:sz w:val="20"/>
            <w:u w:val="single" w:color="0000FF"/>
          </w:rPr>
          <w:t>:</w:t>
        </w:r>
        <w:r>
          <w:rPr>
            <w:color w:val="0000FF"/>
            <w:spacing w:val="-3"/>
            <w:sz w:val="20"/>
            <w:u w:val="single" w:color="0000FF"/>
          </w:rPr>
          <w:t xml:space="preserve"> </w:t>
        </w:r>
        <w:r>
          <w:rPr>
            <w:color w:val="0000FF"/>
            <w:sz w:val="20"/>
            <w:u w:val="single" w:color="0000FF"/>
          </w:rPr>
          <w:t>OECD</w:t>
        </w:r>
        <w:r>
          <w:rPr>
            <w:color w:val="0000FF"/>
            <w:spacing w:val="-6"/>
            <w:sz w:val="20"/>
            <w:u w:val="single" w:color="0000FF"/>
          </w:rPr>
          <w:t xml:space="preserve"> </w:t>
        </w:r>
        <w:r>
          <w:rPr>
            <w:color w:val="0000FF"/>
            <w:sz w:val="20"/>
            <w:u w:val="single" w:color="0000FF"/>
          </w:rPr>
          <w:t>Indicators</w:t>
        </w:r>
        <w:r>
          <w:rPr>
            <w:color w:val="0000FF"/>
            <w:spacing w:val="-4"/>
            <w:sz w:val="20"/>
            <w:u w:val="single" w:color="0000FF"/>
          </w:rPr>
          <w:t xml:space="preserve"> </w:t>
        </w:r>
        <w:r>
          <w:rPr>
            <w:color w:val="0000FF"/>
            <w:sz w:val="20"/>
            <w:u w:val="single" w:color="0000FF"/>
          </w:rPr>
          <w:t>| Education</w:t>
        </w:r>
        <w:r>
          <w:rPr>
            <w:color w:val="0000FF"/>
            <w:spacing w:val="-1"/>
            <w:sz w:val="20"/>
            <w:u w:val="single" w:color="0000FF"/>
          </w:rPr>
          <w:t xml:space="preserve"> </w:t>
        </w:r>
        <w:r>
          <w:rPr>
            <w:color w:val="0000FF"/>
            <w:sz w:val="20"/>
            <w:u w:val="single" w:color="0000FF"/>
          </w:rPr>
          <w:t>at a</w:t>
        </w:r>
        <w:r>
          <w:rPr>
            <w:color w:val="0000FF"/>
            <w:spacing w:val="-6"/>
            <w:sz w:val="20"/>
            <w:u w:val="single" w:color="0000FF"/>
          </w:rPr>
          <w:t xml:space="preserve"> </w:t>
        </w:r>
        <w:r>
          <w:rPr>
            <w:color w:val="0000FF"/>
            <w:sz w:val="20"/>
            <w:u w:val="single" w:color="0000FF"/>
          </w:rPr>
          <w:t>Glance</w:t>
        </w:r>
        <w:r>
          <w:rPr>
            <w:color w:val="0000FF"/>
            <w:spacing w:val="-1"/>
            <w:sz w:val="20"/>
            <w:u w:val="single" w:color="0000FF"/>
          </w:rPr>
          <w:t xml:space="preserve"> </w:t>
        </w:r>
        <w:r>
          <w:rPr>
            <w:color w:val="0000FF"/>
            <w:sz w:val="20"/>
            <w:u w:val="single" w:color="0000FF"/>
          </w:rPr>
          <w:t>|</w:t>
        </w:r>
        <w:r>
          <w:rPr>
            <w:color w:val="0000FF"/>
            <w:spacing w:val="-4"/>
            <w:sz w:val="20"/>
            <w:u w:val="single" w:color="0000FF"/>
          </w:rPr>
          <w:t xml:space="preserve"> </w:t>
        </w:r>
        <w:r>
          <w:rPr>
            <w:color w:val="0000FF"/>
            <w:sz w:val="20"/>
            <w:u w:val="single" w:color="0000FF"/>
          </w:rPr>
          <w:t>OECD</w:t>
        </w:r>
        <w:r>
          <w:rPr>
            <w:color w:val="0000FF"/>
            <w:spacing w:val="-1"/>
            <w:sz w:val="20"/>
            <w:u w:val="single" w:color="0000FF"/>
          </w:rPr>
          <w:t xml:space="preserve"> </w:t>
        </w:r>
        <w:proofErr w:type="spellStart"/>
        <w:r>
          <w:rPr>
            <w:color w:val="0000FF"/>
            <w:sz w:val="20"/>
            <w:u w:val="single" w:color="0000FF"/>
          </w:rPr>
          <w:t>iLibrary</w:t>
        </w:r>
        <w:proofErr w:type="spellEnd"/>
        <w:r>
          <w:rPr>
            <w:color w:val="0000FF"/>
            <w:sz w:val="20"/>
            <w:u w:val="single" w:color="0000FF"/>
          </w:rPr>
          <w:t xml:space="preserve"> (</w:t>
        </w:r>
        <w:proofErr w:type="spellStart"/>
        <w:r>
          <w:rPr>
            <w:color w:val="0000FF"/>
            <w:sz w:val="20"/>
            <w:u w:val="single" w:color="0000FF"/>
          </w:rPr>
          <w:t>oecd</w:t>
        </w:r>
        <w:proofErr w:type="spellEnd"/>
        <w:r>
          <w:rPr>
            <w:color w:val="0000FF"/>
            <w:sz w:val="20"/>
            <w:u w:val="single" w:color="0000FF"/>
          </w:rPr>
          <w:t>-</w:t>
        </w:r>
      </w:hyperlink>
      <w:r>
        <w:rPr>
          <w:color w:val="0000FF"/>
          <w:sz w:val="20"/>
        </w:rPr>
        <w:t xml:space="preserve"> </w:t>
      </w:r>
      <w:hyperlink r:id="rId10">
        <w:r>
          <w:rPr>
            <w:color w:val="0000FF"/>
            <w:spacing w:val="-2"/>
            <w:sz w:val="20"/>
            <w:u w:val="single" w:color="0000FF"/>
          </w:rPr>
          <w:t>ilibrary.org)</w:t>
        </w:r>
      </w:hyperlink>
    </w:p>
    <w:p w14:paraId="67997103" w14:textId="77777777" w:rsidR="000E61B1" w:rsidRDefault="000E61B1">
      <w:pPr>
        <w:rPr>
          <w:sz w:val="20"/>
        </w:rPr>
        <w:sectPr w:rsidR="000E61B1">
          <w:headerReference w:type="default" r:id="rId11"/>
          <w:type w:val="continuous"/>
          <w:pgSz w:w="11910" w:h="16840"/>
          <w:pgMar w:top="1400" w:right="1220" w:bottom="280" w:left="1220" w:header="708" w:footer="0" w:gutter="0"/>
          <w:pgNumType w:start="1"/>
          <w:cols w:space="720"/>
        </w:sectPr>
      </w:pPr>
    </w:p>
    <w:p w14:paraId="0491610D" w14:textId="77777777" w:rsidR="000E61B1" w:rsidRDefault="00000000">
      <w:pPr>
        <w:pStyle w:val="BodyText"/>
        <w:spacing w:before="30" w:line="259" w:lineRule="auto"/>
        <w:ind w:left="220" w:right="224"/>
        <w:jc w:val="both"/>
      </w:pPr>
      <w:r>
        <w:lastRenderedPageBreak/>
        <w:t>used</w:t>
      </w:r>
      <w:r>
        <w:rPr>
          <w:spacing w:val="-4"/>
        </w:rPr>
        <w:t xml:space="preserve"> </w:t>
      </w:r>
      <w:r>
        <w:t>to</w:t>
      </w:r>
      <w:r>
        <w:rPr>
          <w:spacing w:val="-9"/>
        </w:rPr>
        <w:t xml:space="preserve"> </w:t>
      </w:r>
      <w:r>
        <w:t>allocate</w:t>
      </w:r>
      <w:r>
        <w:rPr>
          <w:spacing w:val="-9"/>
        </w:rPr>
        <w:t xml:space="preserve"> </w:t>
      </w:r>
      <w:r>
        <w:t>public</w:t>
      </w:r>
      <w:r>
        <w:rPr>
          <w:spacing w:val="-6"/>
        </w:rPr>
        <w:t xml:space="preserve"> </w:t>
      </w:r>
      <w:r>
        <w:t>funding</w:t>
      </w:r>
      <w:r>
        <w:rPr>
          <w:spacing w:val="-4"/>
        </w:rPr>
        <w:t xml:space="preserve"> </w:t>
      </w:r>
      <w:r>
        <w:t>to</w:t>
      </w:r>
      <w:r>
        <w:rPr>
          <w:spacing w:val="-4"/>
        </w:rPr>
        <w:t xml:space="preserve"> </w:t>
      </w:r>
      <w:r>
        <w:t>schools</w:t>
      </w:r>
      <w:r>
        <w:rPr>
          <w:spacing w:val="-6"/>
        </w:rPr>
        <w:t xml:space="preserve"> </w:t>
      </w:r>
      <w:r>
        <w:t>and</w:t>
      </w:r>
      <w:r>
        <w:rPr>
          <w:spacing w:val="-9"/>
        </w:rPr>
        <w:t xml:space="preserve"> </w:t>
      </w:r>
      <w:r>
        <w:t>on</w:t>
      </w:r>
      <w:r>
        <w:rPr>
          <w:spacing w:val="-9"/>
        </w:rPr>
        <w:t xml:space="preserve"> </w:t>
      </w:r>
      <w:r>
        <w:t>teacher</w:t>
      </w:r>
      <w:r>
        <w:rPr>
          <w:spacing w:val="-8"/>
        </w:rPr>
        <w:t xml:space="preserve"> </w:t>
      </w:r>
      <w:r>
        <w:t>attrition</w:t>
      </w:r>
      <w:r>
        <w:rPr>
          <w:spacing w:val="-4"/>
        </w:rPr>
        <w:t xml:space="preserve"> </w:t>
      </w:r>
      <w:r>
        <w:t>rate</w:t>
      </w:r>
      <w:r>
        <w:rPr>
          <w:spacing w:val="-4"/>
        </w:rPr>
        <w:t xml:space="preserve"> </w:t>
      </w:r>
      <w:r>
        <w:t>complement</w:t>
      </w:r>
      <w:r>
        <w:rPr>
          <w:spacing w:val="-5"/>
        </w:rPr>
        <w:t xml:space="preserve"> </w:t>
      </w:r>
      <w:r>
        <w:t>this</w:t>
      </w:r>
      <w:r>
        <w:rPr>
          <w:spacing w:val="-6"/>
        </w:rPr>
        <w:t xml:space="preserve"> </w:t>
      </w:r>
      <w:r>
        <w:t xml:space="preserve">year's </w:t>
      </w:r>
      <w:r>
        <w:rPr>
          <w:spacing w:val="-2"/>
        </w:rPr>
        <w:t>edition.</w:t>
      </w:r>
    </w:p>
    <w:p w14:paraId="5844E4D8" w14:textId="77777777" w:rsidR="000E61B1" w:rsidRDefault="00000000">
      <w:pPr>
        <w:pStyle w:val="BodyText"/>
        <w:spacing w:before="160" w:line="259" w:lineRule="auto"/>
        <w:ind w:left="220" w:right="221"/>
        <w:jc w:val="both"/>
      </w:pPr>
      <w:r>
        <w:t xml:space="preserve">The </w:t>
      </w:r>
      <w:r>
        <w:rPr>
          <w:b/>
        </w:rPr>
        <w:t>OECD library</w:t>
      </w:r>
      <w:r>
        <w:rPr>
          <w:b/>
          <w:vertAlign w:val="superscript"/>
        </w:rPr>
        <w:t>4</w:t>
      </w:r>
      <w:r>
        <w:rPr>
          <w:b/>
        </w:rPr>
        <w:t xml:space="preserve"> </w:t>
      </w:r>
      <w:r>
        <w:t>also contains many research papers on innovative approaches to the leadership of VET and this bank of free to access, online resources, includes three further papers since the first research:</w:t>
      </w:r>
    </w:p>
    <w:p w14:paraId="660C2A5A" w14:textId="77777777" w:rsidR="000E61B1" w:rsidRDefault="00000000">
      <w:pPr>
        <w:spacing w:before="159" w:line="259" w:lineRule="auto"/>
        <w:ind w:left="220" w:right="214"/>
        <w:jc w:val="both"/>
      </w:pPr>
      <w:r>
        <w:rPr>
          <w:b/>
        </w:rPr>
        <w:t>OECD</w:t>
      </w:r>
      <w:r>
        <w:rPr>
          <w:b/>
          <w:spacing w:val="-16"/>
        </w:rPr>
        <w:t xml:space="preserve"> </w:t>
      </w:r>
      <w:r>
        <w:rPr>
          <w:b/>
        </w:rPr>
        <w:t>Reviews</w:t>
      </w:r>
      <w:r>
        <w:rPr>
          <w:b/>
          <w:spacing w:val="-15"/>
        </w:rPr>
        <w:t xml:space="preserve"> </w:t>
      </w:r>
      <w:r>
        <w:rPr>
          <w:b/>
        </w:rPr>
        <w:t>of</w:t>
      </w:r>
      <w:r>
        <w:rPr>
          <w:b/>
          <w:spacing w:val="-15"/>
        </w:rPr>
        <w:t xml:space="preserve"> </w:t>
      </w:r>
      <w:r>
        <w:rPr>
          <w:b/>
        </w:rPr>
        <w:t>vocation</w:t>
      </w:r>
      <w:r>
        <w:rPr>
          <w:b/>
          <w:spacing w:val="-16"/>
        </w:rPr>
        <w:t xml:space="preserve"> </w:t>
      </w:r>
      <w:r>
        <w:rPr>
          <w:b/>
        </w:rPr>
        <w:t>and</w:t>
      </w:r>
      <w:r>
        <w:rPr>
          <w:b/>
          <w:spacing w:val="-15"/>
        </w:rPr>
        <w:t xml:space="preserve"> </w:t>
      </w:r>
      <w:r>
        <w:rPr>
          <w:b/>
        </w:rPr>
        <w:t>technical</w:t>
      </w:r>
      <w:r>
        <w:rPr>
          <w:b/>
          <w:spacing w:val="-15"/>
        </w:rPr>
        <w:t xml:space="preserve"> </w:t>
      </w:r>
      <w:r>
        <w:rPr>
          <w:b/>
        </w:rPr>
        <w:t>education</w:t>
      </w:r>
      <w:r>
        <w:rPr>
          <w:b/>
          <w:spacing w:val="-15"/>
        </w:rPr>
        <w:t xml:space="preserve"> </w:t>
      </w:r>
      <w:r>
        <w:t>contains</w:t>
      </w:r>
      <w:r>
        <w:rPr>
          <w:spacing w:val="-16"/>
        </w:rPr>
        <w:t xml:space="preserve"> </w:t>
      </w:r>
      <w:r>
        <w:t>a</w:t>
      </w:r>
      <w:r>
        <w:rPr>
          <w:spacing w:val="-15"/>
        </w:rPr>
        <w:t xml:space="preserve"> </w:t>
      </w:r>
      <w:r>
        <w:t>useful</w:t>
      </w:r>
      <w:r>
        <w:rPr>
          <w:spacing w:val="-15"/>
        </w:rPr>
        <w:t xml:space="preserve"> </w:t>
      </w:r>
      <w:r>
        <w:t>overview</w:t>
      </w:r>
      <w:r>
        <w:rPr>
          <w:spacing w:val="-16"/>
        </w:rPr>
        <w:t xml:space="preserve"> </w:t>
      </w:r>
      <w:r>
        <w:t>of</w:t>
      </w:r>
      <w:r>
        <w:rPr>
          <w:spacing w:val="-15"/>
        </w:rPr>
        <w:t xml:space="preserve"> </w:t>
      </w:r>
      <w:r>
        <w:t>the</w:t>
      </w:r>
      <w:r>
        <w:rPr>
          <w:spacing w:val="-15"/>
        </w:rPr>
        <w:t xml:space="preserve"> </w:t>
      </w:r>
      <w:r>
        <w:t>types and forms of tertiary education models across OECD countries.</w:t>
      </w:r>
      <w:r>
        <w:rPr>
          <w:vertAlign w:val="superscript"/>
        </w:rPr>
        <w:t>5</w:t>
      </w:r>
    </w:p>
    <w:p w14:paraId="7BC1B082" w14:textId="77777777" w:rsidR="000E61B1" w:rsidRDefault="00000000">
      <w:pPr>
        <w:pStyle w:val="BodyText"/>
        <w:spacing w:before="160" w:line="259" w:lineRule="auto"/>
        <w:ind w:left="220" w:right="210"/>
        <w:jc w:val="both"/>
      </w:pPr>
      <w:r>
        <w:t xml:space="preserve">18/2/22: </w:t>
      </w:r>
      <w:r>
        <w:rPr>
          <w:b/>
        </w:rPr>
        <w:t xml:space="preserve">Engaging with employers in VET in </w:t>
      </w:r>
      <w:proofErr w:type="gramStart"/>
      <w:r>
        <w:rPr>
          <w:b/>
        </w:rPr>
        <w:t>Brazil:</w:t>
      </w:r>
      <w:proofErr w:type="gramEnd"/>
      <w:r>
        <w:rPr>
          <w:b/>
        </w:rPr>
        <w:t xml:space="preserve"> </w:t>
      </w:r>
      <w:r>
        <w:t>outlines the approaches that upper secondary</w:t>
      </w:r>
      <w:r>
        <w:rPr>
          <w:spacing w:val="-11"/>
        </w:rPr>
        <w:t xml:space="preserve"> </w:t>
      </w:r>
      <w:r>
        <w:t>schools</w:t>
      </w:r>
      <w:r>
        <w:rPr>
          <w:spacing w:val="-16"/>
        </w:rPr>
        <w:t xml:space="preserve"> </w:t>
      </w:r>
      <w:r>
        <w:t>are</w:t>
      </w:r>
      <w:r>
        <w:rPr>
          <w:spacing w:val="-13"/>
        </w:rPr>
        <w:t xml:space="preserve"> </w:t>
      </w:r>
      <w:r>
        <w:t>taking</w:t>
      </w:r>
      <w:r>
        <w:rPr>
          <w:spacing w:val="-9"/>
        </w:rPr>
        <w:t xml:space="preserve"> </w:t>
      </w:r>
      <w:r>
        <w:t>in</w:t>
      </w:r>
      <w:r>
        <w:rPr>
          <w:spacing w:val="-9"/>
        </w:rPr>
        <w:t xml:space="preserve"> </w:t>
      </w:r>
      <w:r>
        <w:t>working</w:t>
      </w:r>
      <w:r>
        <w:rPr>
          <w:spacing w:val="-9"/>
        </w:rPr>
        <w:t xml:space="preserve"> </w:t>
      </w:r>
      <w:r>
        <w:t>with</w:t>
      </w:r>
      <w:r>
        <w:rPr>
          <w:spacing w:val="-14"/>
        </w:rPr>
        <w:t xml:space="preserve"> </w:t>
      </w:r>
      <w:r>
        <w:t>employers</w:t>
      </w:r>
      <w:r>
        <w:rPr>
          <w:spacing w:val="-11"/>
        </w:rPr>
        <w:t xml:space="preserve"> </w:t>
      </w:r>
      <w:r>
        <w:t>for</w:t>
      </w:r>
      <w:r>
        <w:rPr>
          <w:spacing w:val="-12"/>
        </w:rPr>
        <w:t xml:space="preserve"> </w:t>
      </w:r>
      <w:r>
        <w:t>work</w:t>
      </w:r>
      <w:r>
        <w:rPr>
          <w:spacing w:val="-16"/>
        </w:rPr>
        <w:t xml:space="preserve"> </w:t>
      </w:r>
      <w:r>
        <w:t>based</w:t>
      </w:r>
      <w:r>
        <w:rPr>
          <w:spacing w:val="-8"/>
        </w:rPr>
        <w:t xml:space="preserve"> </w:t>
      </w:r>
      <w:r>
        <w:t>learning</w:t>
      </w:r>
      <w:r>
        <w:rPr>
          <w:spacing w:val="-14"/>
        </w:rPr>
        <w:t xml:space="preserve"> </w:t>
      </w:r>
      <w:proofErr w:type="spellStart"/>
      <w:r>
        <w:t>programmes</w:t>
      </w:r>
      <w:proofErr w:type="spellEnd"/>
      <w:r>
        <w:t>, including finding quality placements for students and in the delivery of the curriculum and assessment of learner progress.</w:t>
      </w:r>
    </w:p>
    <w:p w14:paraId="509D680E" w14:textId="77777777" w:rsidR="000E61B1" w:rsidRDefault="00000000">
      <w:pPr>
        <w:pStyle w:val="BodyText"/>
        <w:spacing w:before="160" w:line="259" w:lineRule="auto"/>
        <w:ind w:left="220" w:right="211"/>
        <w:jc w:val="both"/>
      </w:pPr>
      <w:r>
        <w:t xml:space="preserve">23/7/21 </w:t>
      </w:r>
      <w:r>
        <w:rPr>
          <w:b/>
        </w:rPr>
        <w:t>Vocational Education and Training in Thailand.</w:t>
      </w:r>
      <w:r>
        <w:rPr>
          <w:b/>
          <w:vertAlign w:val="superscript"/>
        </w:rPr>
        <w:t>6</w:t>
      </w:r>
      <w:r>
        <w:rPr>
          <w:b/>
        </w:rPr>
        <w:t xml:space="preserve"> </w:t>
      </w:r>
      <w:r>
        <w:t>This paper addresses how Thailand</w:t>
      </w:r>
      <w:r>
        <w:rPr>
          <w:spacing w:val="-16"/>
        </w:rPr>
        <w:t xml:space="preserve"> </w:t>
      </w:r>
      <w:proofErr w:type="gramStart"/>
      <w:r>
        <w:t>are</w:t>
      </w:r>
      <w:proofErr w:type="gramEnd"/>
      <w:r>
        <w:rPr>
          <w:spacing w:val="-15"/>
        </w:rPr>
        <w:t xml:space="preserve"> </w:t>
      </w:r>
      <w:r>
        <w:t>addressing</w:t>
      </w:r>
      <w:r>
        <w:rPr>
          <w:spacing w:val="-15"/>
        </w:rPr>
        <w:t xml:space="preserve"> </w:t>
      </w:r>
      <w:r>
        <w:t>the</w:t>
      </w:r>
      <w:r>
        <w:rPr>
          <w:spacing w:val="-16"/>
        </w:rPr>
        <w:t xml:space="preserve"> </w:t>
      </w:r>
      <w:r>
        <w:t>poor</w:t>
      </w:r>
      <w:r>
        <w:rPr>
          <w:spacing w:val="-15"/>
        </w:rPr>
        <w:t xml:space="preserve"> </w:t>
      </w:r>
      <w:r>
        <w:t>perception</w:t>
      </w:r>
      <w:r>
        <w:rPr>
          <w:spacing w:val="-15"/>
        </w:rPr>
        <w:t xml:space="preserve"> </w:t>
      </w:r>
      <w:r>
        <w:t>that</w:t>
      </w:r>
      <w:r>
        <w:rPr>
          <w:spacing w:val="-14"/>
        </w:rPr>
        <w:t xml:space="preserve"> </w:t>
      </w:r>
      <w:r>
        <w:t>people</w:t>
      </w:r>
      <w:r>
        <w:rPr>
          <w:spacing w:val="-12"/>
        </w:rPr>
        <w:t xml:space="preserve"> </w:t>
      </w:r>
      <w:r>
        <w:t>there</w:t>
      </w:r>
      <w:r>
        <w:rPr>
          <w:spacing w:val="-16"/>
        </w:rPr>
        <w:t xml:space="preserve"> </w:t>
      </w:r>
      <w:r>
        <w:t>have</w:t>
      </w:r>
      <w:r>
        <w:rPr>
          <w:spacing w:val="-12"/>
        </w:rPr>
        <w:t xml:space="preserve"> </w:t>
      </w:r>
      <w:r>
        <w:t>of</w:t>
      </w:r>
      <w:r>
        <w:rPr>
          <w:spacing w:val="-16"/>
        </w:rPr>
        <w:t xml:space="preserve"> </w:t>
      </w:r>
      <w:r>
        <w:t>VET</w:t>
      </w:r>
      <w:r>
        <w:rPr>
          <w:spacing w:val="-14"/>
        </w:rPr>
        <w:t xml:space="preserve"> </w:t>
      </w:r>
      <w:r>
        <w:t>so</w:t>
      </w:r>
      <w:r>
        <w:rPr>
          <w:spacing w:val="-12"/>
        </w:rPr>
        <w:t xml:space="preserve"> </w:t>
      </w:r>
      <w:r>
        <w:t>that</w:t>
      </w:r>
      <w:r>
        <w:rPr>
          <w:spacing w:val="-13"/>
        </w:rPr>
        <w:t xml:space="preserve"> </w:t>
      </w:r>
      <w:r>
        <w:t>high</w:t>
      </w:r>
      <w:r>
        <w:rPr>
          <w:spacing w:val="-12"/>
        </w:rPr>
        <w:t xml:space="preserve"> </w:t>
      </w:r>
      <w:proofErr w:type="spellStart"/>
      <w:r>
        <w:t>calibre</w:t>
      </w:r>
      <w:proofErr w:type="spellEnd"/>
      <w:r>
        <w:t xml:space="preserve"> students are attracted and enrolled onto VET course. Improving access to VET courses, aligning the VET curriculum more effectively with </w:t>
      </w:r>
      <w:proofErr w:type="spellStart"/>
      <w:r>
        <w:t>labour</w:t>
      </w:r>
      <w:proofErr w:type="spellEnd"/>
      <w:r>
        <w:t xml:space="preserve"> market intelligence and engaging stakeholders in the design and delivery of VET.</w:t>
      </w:r>
    </w:p>
    <w:p w14:paraId="41ADD29A" w14:textId="77777777" w:rsidR="000E61B1" w:rsidRDefault="00000000">
      <w:pPr>
        <w:spacing w:before="161" w:line="259" w:lineRule="auto"/>
        <w:ind w:left="220" w:right="294"/>
        <w:rPr>
          <w:i/>
        </w:rPr>
      </w:pPr>
      <w:r>
        <w:t>A</w:t>
      </w:r>
      <w:r>
        <w:rPr>
          <w:spacing w:val="-1"/>
        </w:rPr>
        <w:t xml:space="preserve"> </w:t>
      </w:r>
      <w:r>
        <w:rPr>
          <w:b/>
        </w:rPr>
        <w:t>European</w:t>
      </w:r>
      <w:r>
        <w:rPr>
          <w:b/>
          <w:spacing w:val="-7"/>
        </w:rPr>
        <w:t xml:space="preserve"> </w:t>
      </w:r>
      <w:r>
        <w:rPr>
          <w:b/>
        </w:rPr>
        <w:t>Commission</w:t>
      </w:r>
      <w:r>
        <w:rPr>
          <w:b/>
          <w:spacing w:val="-3"/>
        </w:rPr>
        <w:t xml:space="preserve"> </w:t>
      </w:r>
      <w:r>
        <w:rPr>
          <w:b/>
        </w:rPr>
        <w:t>report</w:t>
      </w:r>
      <w:r>
        <w:rPr>
          <w:b/>
          <w:spacing w:val="-3"/>
        </w:rPr>
        <w:t xml:space="preserve"> </w:t>
      </w:r>
      <w:r>
        <w:rPr>
          <w:b/>
        </w:rPr>
        <w:t>from</w:t>
      </w:r>
      <w:r>
        <w:rPr>
          <w:b/>
          <w:spacing w:val="-6"/>
        </w:rPr>
        <w:t xml:space="preserve"> </w:t>
      </w:r>
      <w:r>
        <w:rPr>
          <w:b/>
        </w:rPr>
        <w:t>2015</w:t>
      </w:r>
      <w:r>
        <w:t>,</w:t>
      </w:r>
      <w:r>
        <w:rPr>
          <w:spacing w:val="-1"/>
        </w:rPr>
        <w:t xml:space="preserve"> </w:t>
      </w:r>
      <w:r>
        <w:t>which</w:t>
      </w:r>
      <w:r>
        <w:rPr>
          <w:spacing w:val="-1"/>
        </w:rPr>
        <w:t xml:space="preserve"> </w:t>
      </w:r>
      <w:r>
        <w:t>was</w:t>
      </w:r>
      <w:r>
        <w:rPr>
          <w:spacing w:val="-6"/>
        </w:rPr>
        <w:t xml:space="preserve"> </w:t>
      </w:r>
      <w:r>
        <w:t>not</w:t>
      </w:r>
      <w:r>
        <w:rPr>
          <w:spacing w:val="-1"/>
        </w:rPr>
        <w:t xml:space="preserve"> </w:t>
      </w:r>
      <w:r>
        <w:t>included</w:t>
      </w:r>
      <w:r>
        <w:rPr>
          <w:spacing w:val="-5"/>
        </w:rPr>
        <w:t xml:space="preserve"> </w:t>
      </w:r>
      <w:r>
        <w:t>in</w:t>
      </w:r>
      <w:r>
        <w:rPr>
          <w:spacing w:val="-5"/>
        </w:rPr>
        <w:t xml:space="preserve"> </w:t>
      </w:r>
      <w:r>
        <w:t>the</w:t>
      </w:r>
      <w:r>
        <w:rPr>
          <w:spacing w:val="-1"/>
        </w:rPr>
        <w:t xml:space="preserve"> </w:t>
      </w:r>
      <w:r>
        <w:t>2021</w:t>
      </w:r>
      <w:r>
        <w:rPr>
          <w:spacing w:val="-1"/>
        </w:rPr>
        <w:t xml:space="preserve"> </w:t>
      </w:r>
      <w:r>
        <w:t xml:space="preserve">research, provides a comprehensive summary of the principles that constitute best practice in the delivery of apprenticeship training across European countries: </w:t>
      </w:r>
      <w:r>
        <w:rPr>
          <w:i/>
          <w:color w:val="333333"/>
        </w:rPr>
        <w:t>High-performance apprenticeships &amp; work-based learning: 20 guiding principles.</w:t>
      </w:r>
      <w:r>
        <w:rPr>
          <w:i/>
          <w:color w:val="333333"/>
          <w:vertAlign w:val="superscript"/>
        </w:rPr>
        <w:t>7</w:t>
      </w:r>
    </w:p>
    <w:p w14:paraId="44753EE7" w14:textId="77777777" w:rsidR="000E61B1" w:rsidRDefault="00000000">
      <w:pPr>
        <w:pStyle w:val="BodyText"/>
        <w:spacing w:before="160" w:line="256" w:lineRule="auto"/>
        <w:ind w:left="220" w:right="226"/>
        <w:jc w:val="both"/>
      </w:pPr>
      <w:r>
        <w:t>Though a number of these principles are written for implementation at national and regional governmental</w:t>
      </w:r>
      <w:r>
        <w:rPr>
          <w:spacing w:val="-16"/>
        </w:rPr>
        <w:t xml:space="preserve"> </w:t>
      </w:r>
      <w:r>
        <w:t>level,</w:t>
      </w:r>
      <w:r>
        <w:rPr>
          <w:spacing w:val="-15"/>
        </w:rPr>
        <w:t xml:space="preserve"> </w:t>
      </w:r>
      <w:r>
        <w:t>leaders</w:t>
      </w:r>
      <w:r>
        <w:rPr>
          <w:spacing w:val="-15"/>
        </w:rPr>
        <w:t xml:space="preserve"> </w:t>
      </w:r>
      <w:r>
        <w:t>of</w:t>
      </w:r>
      <w:r>
        <w:rPr>
          <w:spacing w:val="-16"/>
        </w:rPr>
        <w:t xml:space="preserve"> </w:t>
      </w:r>
      <w:r>
        <w:t>curriculum</w:t>
      </w:r>
      <w:r>
        <w:rPr>
          <w:spacing w:val="-15"/>
        </w:rPr>
        <w:t xml:space="preserve"> </w:t>
      </w:r>
      <w:r>
        <w:t>and</w:t>
      </w:r>
      <w:r>
        <w:rPr>
          <w:spacing w:val="-15"/>
        </w:rPr>
        <w:t xml:space="preserve"> </w:t>
      </w:r>
      <w:r>
        <w:t>quality</w:t>
      </w:r>
      <w:r>
        <w:rPr>
          <w:spacing w:val="-15"/>
        </w:rPr>
        <w:t xml:space="preserve"> </w:t>
      </w:r>
      <w:r>
        <w:t>will</w:t>
      </w:r>
      <w:r>
        <w:rPr>
          <w:spacing w:val="-13"/>
        </w:rPr>
        <w:t xml:space="preserve"> </w:t>
      </w:r>
      <w:r>
        <w:t>find</w:t>
      </w:r>
      <w:r>
        <w:rPr>
          <w:spacing w:val="-16"/>
        </w:rPr>
        <w:t xml:space="preserve"> </w:t>
      </w:r>
      <w:r>
        <w:t>plentiful</w:t>
      </w:r>
      <w:r>
        <w:rPr>
          <w:spacing w:val="-15"/>
        </w:rPr>
        <w:t xml:space="preserve"> </w:t>
      </w:r>
      <w:r>
        <w:t>useful</w:t>
      </w:r>
      <w:r>
        <w:rPr>
          <w:spacing w:val="-14"/>
        </w:rPr>
        <w:t xml:space="preserve"> </w:t>
      </w:r>
      <w:r>
        <w:t>information</w:t>
      </w:r>
      <w:r>
        <w:rPr>
          <w:spacing w:val="-11"/>
        </w:rPr>
        <w:t xml:space="preserve"> </w:t>
      </w:r>
      <w:r>
        <w:t>which can be applied at provider level, with numerous case study examples:</w:t>
      </w:r>
    </w:p>
    <w:p w14:paraId="60FAFF67" w14:textId="77777777" w:rsidR="000E61B1" w:rsidRDefault="00000000">
      <w:pPr>
        <w:spacing w:before="163" w:line="259" w:lineRule="auto"/>
        <w:ind w:left="220" w:right="209"/>
        <w:jc w:val="both"/>
        <w:rPr>
          <w:i/>
        </w:rPr>
      </w:pPr>
      <w:r>
        <w:rPr>
          <w:i/>
        </w:rPr>
        <w:t>Principle 4: Systematic cooperation between VET</w:t>
      </w:r>
      <w:r>
        <w:rPr>
          <w:i/>
          <w:spacing w:val="-1"/>
        </w:rPr>
        <w:t xml:space="preserve"> </w:t>
      </w:r>
      <w:r>
        <w:rPr>
          <w:i/>
        </w:rPr>
        <w:t xml:space="preserve">school or training </w:t>
      </w:r>
      <w:proofErr w:type="spellStart"/>
      <w:r>
        <w:rPr>
          <w:i/>
        </w:rPr>
        <w:t>centres</w:t>
      </w:r>
      <w:proofErr w:type="spellEnd"/>
      <w:r>
        <w:rPr>
          <w:i/>
        </w:rPr>
        <w:t xml:space="preserve"> and companies. A case study example from France shows how regular contact between the VET school/training </w:t>
      </w:r>
      <w:proofErr w:type="spellStart"/>
      <w:r>
        <w:rPr>
          <w:i/>
        </w:rPr>
        <w:t>centres</w:t>
      </w:r>
      <w:proofErr w:type="spellEnd"/>
      <w:r>
        <w:rPr>
          <w:i/>
        </w:rPr>
        <w:t xml:space="preserve"> and the training company can be </w:t>
      </w:r>
      <w:proofErr w:type="spellStart"/>
      <w:r>
        <w:rPr>
          <w:i/>
        </w:rPr>
        <w:t>organised</w:t>
      </w:r>
      <w:proofErr w:type="spellEnd"/>
      <w:r>
        <w:rPr>
          <w:i/>
        </w:rPr>
        <w:t xml:space="preserve"> </w:t>
      </w:r>
      <w:proofErr w:type="gramStart"/>
      <w:r>
        <w:rPr>
          <w:i/>
        </w:rPr>
        <w:t>in order to</w:t>
      </w:r>
      <w:proofErr w:type="gramEnd"/>
      <w:r>
        <w:rPr>
          <w:i/>
        </w:rPr>
        <w:t xml:space="preserve"> ensure the quality and completion of the apprenticeship</w:t>
      </w:r>
    </w:p>
    <w:p w14:paraId="18250A4E" w14:textId="77777777" w:rsidR="000E61B1" w:rsidRDefault="00000000">
      <w:pPr>
        <w:spacing w:before="160" w:line="259" w:lineRule="auto"/>
        <w:ind w:left="220" w:right="218"/>
        <w:jc w:val="both"/>
        <w:rPr>
          <w:i/>
        </w:rPr>
      </w:pPr>
      <w:r>
        <w:rPr>
          <w:i/>
        </w:rPr>
        <w:t>Principle 6: Supporting measures that make apprenticeships more attractive and accessible to</w:t>
      </w:r>
      <w:r>
        <w:rPr>
          <w:i/>
          <w:spacing w:val="-3"/>
        </w:rPr>
        <w:t xml:space="preserve"> </w:t>
      </w:r>
      <w:r>
        <w:rPr>
          <w:i/>
        </w:rPr>
        <w:t>SMEs.</w:t>
      </w:r>
      <w:r>
        <w:rPr>
          <w:i/>
          <w:spacing w:val="-4"/>
        </w:rPr>
        <w:t xml:space="preserve"> </w:t>
      </w:r>
      <w:r>
        <w:rPr>
          <w:i/>
        </w:rPr>
        <w:t>A</w:t>
      </w:r>
      <w:r>
        <w:rPr>
          <w:i/>
          <w:spacing w:val="-4"/>
        </w:rPr>
        <w:t xml:space="preserve"> </w:t>
      </w:r>
      <w:r>
        <w:rPr>
          <w:i/>
        </w:rPr>
        <w:t>case</w:t>
      </w:r>
      <w:r>
        <w:rPr>
          <w:i/>
          <w:spacing w:val="-3"/>
        </w:rPr>
        <w:t xml:space="preserve"> </w:t>
      </w:r>
      <w:r>
        <w:rPr>
          <w:i/>
        </w:rPr>
        <w:t>study</w:t>
      </w:r>
      <w:r>
        <w:rPr>
          <w:i/>
          <w:spacing w:val="-5"/>
        </w:rPr>
        <w:t xml:space="preserve"> </w:t>
      </w:r>
      <w:r>
        <w:rPr>
          <w:i/>
        </w:rPr>
        <w:t>from</w:t>
      </w:r>
      <w:r>
        <w:rPr>
          <w:i/>
          <w:spacing w:val="-7"/>
        </w:rPr>
        <w:t xml:space="preserve"> </w:t>
      </w:r>
      <w:r>
        <w:rPr>
          <w:i/>
        </w:rPr>
        <w:t>‘The</w:t>
      </w:r>
      <w:r>
        <w:rPr>
          <w:i/>
          <w:spacing w:val="-3"/>
        </w:rPr>
        <w:t xml:space="preserve"> </w:t>
      </w:r>
      <w:proofErr w:type="spellStart"/>
      <w:r>
        <w:rPr>
          <w:i/>
        </w:rPr>
        <w:t>Jobstarter</w:t>
      </w:r>
      <w:proofErr w:type="spellEnd"/>
      <w:r>
        <w:rPr>
          <w:i/>
          <w:spacing w:val="-2"/>
        </w:rPr>
        <w:t xml:space="preserve"> </w:t>
      </w:r>
      <w:proofErr w:type="spellStart"/>
      <w:r>
        <w:rPr>
          <w:i/>
        </w:rPr>
        <w:t>programme</w:t>
      </w:r>
      <w:proofErr w:type="spellEnd"/>
      <w:r>
        <w:rPr>
          <w:i/>
        </w:rPr>
        <w:t>’</w:t>
      </w:r>
      <w:r>
        <w:rPr>
          <w:i/>
          <w:spacing w:val="-1"/>
        </w:rPr>
        <w:t xml:space="preserve"> </w:t>
      </w:r>
      <w:r>
        <w:rPr>
          <w:i/>
        </w:rPr>
        <w:t>in</w:t>
      </w:r>
      <w:r>
        <w:rPr>
          <w:i/>
          <w:spacing w:val="-3"/>
        </w:rPr>
        <w:t xml:space="preserve"> </w:t>
      </w:r>
      <w:r>
        <w:rPr>
          <w:i/>
        </w:rPr>
        <w:t>Germany</w:t>
      </w:r>
      <w:r>
        <w:rPr>
          <w:i/>
          <w:spacing w:val="-5"/>
        </w:rPr>
        <w:t xml:space="preserve"> </w:t>
      </w:r>
      <w:r>
        <w:rPr>
          <w:i/>
        </w:rPr>
        <w:t>is</w:t>
      </w:r>
      <w:r>
        <w:rPr>
          <w:i/>
          <w:spacing w:val="-5"/>
        </w:rPr>
        <w:t xml:space="preserve"> </w:t>
      </w:r>
      <w:r>
        <w:rPr>
          <w:i/>
        </w:rPr>
        <w:t>an</w:t>
      </w:r>
      <w:r>
        <w:rPr>
          <w:i/>
          <w:spacing w:val="-3"/>
        </w:rPr>
        <w:t xml:space="preserve"> </w:t>
      </w:r>
      <w:r>
        <w:rPr>
          <w:i/>
        </w:rPr>
        <w:t>example</w:t>
      </w:r>
      <w:r>
        <w:rPr>
          <w:i/>
          <w:spacing w:val="-3"/>
        </w:rPr>
        <w:t xml:space="preserve"> </w:t>
      </w:r>
      <w:r>
        <w:rPr>
          <w:i/>
        </w:rPr>
        <w:t>of</w:t>
      </w:r>
      <w:r>
        <w:rPr>
          <w:i/>
          <w:spacing w:val="-4"/>
        </w:rPr>
        <w:t xml:space="preserve"> </w:t>
      </w:r>
      <w:r>
        <w:rPr>
          <w:i/>
        </w:rPr>
        <w:t>how</w:t>
      </w:r>
      <w:r>
        <w:rPr>
          <w:i/>
          <w:spacing w:val="-6"/>
        </w:rPr>
        <w:t xml:space="preserve"> </w:t>
      </w:r>
      <w:r>
        <w:rPr>
          <w:i/>
        </w:rPr>
        <w:t xml:space="preserve">to </w:t>
      </w:r>
      <w:proofErr w:type="spellStart"/>
      <w:r>
        <w:rPr>
          <w:i/>
        </w:rPr>
        <w:t>organise</w:t>
      </w:r>
      <w:proofErr w:type="spellEnd"/>
      <w:r>
        <w:rPr>
          <w:i/>
        </w:rPr>
        <w:t xml:space="preserve"> collaboration between SMEs to coordinate training and apprenticeship delivery</w:t>
      </w:r>
    </w:p>
    <w:p w14:paraId="60091DC9" w14:textId="77777777" w:rsidR="000E61B1" w:rsidRDefault="000E61B1">
      <w:pPr>
        <w:pStyle w:val="BodyText"/>
        <w:rPr>
          <w:i/>
          <w:sz w:val="20"/>
        </w:rPr>
      </w:pPr>
    </w:p>
    <w:p w14:paraId="58C8A4D9" w14:textId="77777777" w:rsidR="000E61B1" w:rsidRDefault="000E61B1">
      <w:pPr>
        <w:pStyle w:val="BodyText"/>
        <w:rPr>
          <w:i/>
          <w:sz w:val="20"/>
        </w:rPr>
      </w:pPr>
    </w:p>
    <w:p w14:paraId="24690A33" w14:textId="77777777" w:rsidR="000E61B1" w:rsidRDefault="000E61B1">
      <w:pPr>
        <w:pStyle w:val="BodyText"/>
        <w:rPr>
          <w:i/>
          <w:sz w:val="20"/>
        </w:rPr>
      </w:pPr>
    </w:p>
    <w:p w14:paraId="6CB9198C" w14:textId="77777777" w:rsidR="000E61B1" w:rsidRDefault="000E61B1">
      <w:pPr>
        <w:pStyle w:val="BodyText"/>
        <w:rPr>
          <w:i/>
          <w:sz w:val="20"/>
        </w:rPr>
      </w:pPr>
    </w:p>
    <w:p w14:paraId="1415F398" w14:textId="77777777" w:rsidR="000E61B1" w:rsidRDefault="00000000">
      <w:pPr>
        <w:pStyle w:val="BodyText"/>
        <w:spacing w:before="5"/>
        <w:rPr>
          <w:i/>
        </w:rPr>
      </w:pPr>
      <w:r>
        <w:pict w14:anchorId="4B406F11">
          <v:rect id="docshape3" o:spid="_x0000_s2059" style="position:absolute;margin-left:1in;margin-top:14.1pt;width:144.05pt;height:.7pt;z-index:-15727616;mso-wrap-distance-left:0;mso-wrap-distance-right:0;mso-position-horizontal-relative:page" fillcolor="black" stroked="f">
            <w10:wrap type="topAndBottom" anchorx="page"/>
          </v:rect>
        </w:pict>
      </w:r>
    </w:p>
    <w:p w14:paraId="292EB8B4" w14:textId="77777777" w:rsidR="000E61B1" w:rsidRDefault="00000000">
      <w:pPr>
        <w:spacing w:before="102"/>
        <w:ind w:left="220" w:right="1606"/>
        <w:jc w:val="both"/>
        <w:rPr>
          <w:sz w:val="20"/>
        </w:rPr>
      </w:pPr>
      <w:r>
        <w:rPr>
          <w:rFonts w:ascii="Calibri"/>
          <w:sz w:val="20"/>
          <w:vertAlign w:val="superscript"/>
        </w:rPr>
        <w:t>4</w:t>
      </w:r>
      <w:r>
        <w:rPr>
          <w:rFonts w:ascii="Calibri"/>
          <w:spacing w:val="-12"/>
          <w:sz w:val="20"/>
        </w:rPr>
        <w:t xml:space="preserve"> </w:t>
      </w:r>
      <w:r>
        <w:rPr>
          <w:sz w:val="20"/>
        </w:rPr>
        <w:t>(</w:t>
      </w:r>
      <w:hyperlink r:id="rId12">
        <w:r>
          <w:rPr>
            <w:color w:val="1154CC"/>
            <w:sz w:val="20"/>
            <w:u w:val="single" w:color="1154CC"/>
          </w:rPr>
          <w:t>https://www.oecd-ilibrary.org/fr/education/oecd-reviews-of-vocational-education-and-</w:t>
        </w:r>
      </w:hyperlink>
      <w:r>
        <w:rPr>
          <w:color w:val="1154CC"/>
          <w:sz w:val="20"/>
        </w:rPr>
        <w:t xml:space="preserve"> </w:t>
      </w:r>
      <w:hyperlink r:id="rId13">
        <w:r>
          <w:rPr>
            <w:color w:val="1154CC"/>
            <w:spacing w:val="-2"/>
            <w:sz w:val="20"/>
            <w:u w:val="single" w:color="1154CC"/>
          </w:rPr>
          <w:t>training_20777736</w:t>
        </w:r>
      </w:hyperlink>
      <w:r>
        <w:rPr>
          <w:spacing w:val="-2"/>
          <w:sz w:val="20"/>
        </w:rPr>
        <w:t>)</w:t>
      </w:r>
    </w:p>
    <w:p w14:paraId="0070AADC" w14:textId="77777777" w:rsidR="000E61B1" w:rsidRDefault="00000000">
      <w:pPr>
        <w:pStyle w:val="BodyText"/>
        <w:spacing w:before="1" w:line="256" w:lineRule="auto"/>
        <w:ind w:left="220" w:right="223"/>
        <w:jc w:val="both"/>
      </w:pPr>
      <w:r>
        <w:rPr>
          <w:rFonts w:ascii="Calibri"/>
          <w:vertAlign w:val="superscript"/>
        </w:rPr>
        <w:t>5</w:t>
      </w:r>
      <w:r>
        <w:rPr>
          <w:rFonts w:ascii="Calibri"/>
        </w:rPr>
        <w:t xml:space="preserve"> </w:t>
      </w:r>
      <w:hyperlink r:id="rId14">
        <w:r>
          <w:rPr>
            <w:color w:val="1154CC"/>
            <w:u w:val="single" w:color="1154CC"/>
          </w:rPr>
          <w:t>Pathways to Professions: Understanding Higher Vocational and Professional Tertiary</w:t>
        </w:r>
      </w:hyperlink>
      <w:r>
        <w:rPr>
          <w:color w:val="1154CC"/>
        </w:rPr>
        <w:t xml:space="preserve"> </w:t>
      </w:r>
      <w:hyperlink r:id="rId15">
        <w:r>
          <w:rPr>
            <w:color w:val="1154CC"/>
            <w:u w:val="single" w:color="1154CC"/>
          </w:rPr>
          <w:t xml:space="preserve">Education Systems | OECD Reviews of Vocational Education and Training | OECD </w:t>
        </w:r>
        <w:proofErr w:type="spellStart"/>
        <w:r>
          <w:rPr>
            <w:color w:val="1154CC"/>
            <w:u w:val="single" w:color="1154CC"/>
          </w:rPr>
          <w:t>iLibrary</w:t>
        </w:r>
        <w:proofErr w:type="spellEnd"/>
      </w:hyperlink>
      <w:r>
        <w:rPr>
          <w:color w:val="1154CC"/>
        </w:rPr>
        <w:t xml:space="preserve"> </w:t>
      </w:r>
      <w:hyperlink r:id="rId16">
        <w:r>
          <w:rPr>
            <w:color w:val="1154CC"/>
            <w:spacing w:val="-2"/>
            <w:u w:val="single" w:color="1154CC"/>
          </w:rPr>
          <w:t>(oecd-ilibrary.org)</w:t>
        </w:r>
      </w:hyperlink>
    </w:p>
    <w:p w14:paraId="7D5768C0" w14:textId="77777777" w:rsidR="000E61B1" w:rsidRDefault="000E61B1">
      <w:pPr>
        <w:pStyle w:val="BodyText"/>
        <w:spacing w:before="8"/>
        <w:rPr>
          <w:sz w:val="27"/>
        </w:rPr>
      </w:pPr>
    </w:p>
    <w:p w14:paraId="1D5A7BC0" w14:textId="77777777" w:rsidR="000E61B1" w:rsidRDefault="00000000">
      <w:pPr>
        <w:spacing w:before="92"/>
        <w:ind w:left="220" w:right="294"/>
        <w:rPr>
          <w:sz w:val="20"/>
        </w:rPr>
      </w:pPr>
      <w:r>
        <w:rPr>
          <w:rFonts w:ascii="Calibri"/>
          <w:sz w:val="20"/>
          <w:vertAlign w:val="superscript"/>
        </w:rPr>
        <w:t>6</w:t>
      </w:r>
      <w:r>
        <w:rPr>
          <w:rFonts w:ascii="Calibri"/>
          <w:sz w:val="20"/>
        </w:rPr>
        <w:t xml:space="preserve"> </w:t>
      </w:r>
      <w:hyperlink r:id="rId17">
        <w:r>
          <w:rPr>
            <w:color w:val="1154CC"/>
            <w:sz w:val="20"/>
            <w:u w:val="single" w:color="1154CC"/>
          </w:rPr>
          <w:t>Vocational</w:t>
        </w:r>
        <w:r>
          <w:rPr>
            <w:color w:val="1154CC"/>
            <w:spacing w:val="-3"/>
            <w:sz w:val="20"/>
            <w:u w:val="single" w:color="1154CC"/>
          </w:rPr>
          <w:t xml:space="preserve"> </w:t>
        </w:r>
        <w:r>
          <w:rPr>
            <w:color w:val="1154CC"/>
            <w:sz w:val="20"/>
            <w:u w:val="single" w:color="1154CC"/>
          </w:rPr>
          <w:t>Education</w:t>
        </w:r>
        <w:r>
          <w:rPr>
            <w:color w:val="1154CC"/>
            <w:spacing w:val="-3"/>
            <w:sz w:val="20"/>
            <w:u w:val="single" w:color="1154CC"/>
          </w:rPr>
          <w:t xml:space="preserve"> </w:t>
        </w:r>
        <w:r>
          <w:rPr>
            <w:color w:val="1154CC"/>
            <w:sz w:val="20"/>
            <w:u w:val="single" w:color="1154CC"/>
          </w:rPr>
          <w:t>and</w:t>
        </w:r>
        <w:r>
          <w:rPr>
            <w:color w:val="1154CC"/>
            <w:spacing w:val="-3"/>
            <w:sz w:val="20"/>
            <w:u w:val="single" w:color="1154CC"/>
          </w:rPr>
          <w:t xml:space="preserve"> </w:t>
        </w:r>
        <w:r>
          <w:rPr>
            <w:color w:val="1154CC"/>
            <w:sz w:val="20"/>
            <w:u w:val="single" w:color="1154CC"/>
          </w:rPr>
          <w:t>Training</w:t>
        </w:r>
        <w:r>
          <w:rPr>
            <w:color w:val="1154CC"/>
            <w:spacing w:val="-3"/>
            <w:sz w:val="20"/>
            <w:u w:val="single" w:color="1154CC"/>
          </w:rPr>
          <w:t xml:space="preserve"> </w:t>
        </w:r>
        <w:r>
          <w:rPr>
            <w:color w:val="1154CC"/>
            <w:sz w:val="20"/>
            <w:u w:val="single" w:color="1154CC"/>
          </w:rPr>
          <w:t>in</w:t>
        </w:r>
        <w:r>
          <w:rPr>
            <w:color w:val="1154CC"/>
            <w:spacing w:val="-3"/>
            <w:sz w:val="20"/>
            <w:u w:val="single" w:color="1154CC"/>
          </w:rPr>
          <w:t xml:space="preserve"> </w:t>
        </w:r>
        <w:r>
          <w:rPr>
            <w:color w:val="1154CC"/>
            <w:sz w:val="20"/>
            <w:u w:val="single" w:color="1154CC"/>
          </w:rPr>
          <w:t>Thailand</w:t>
        </w:r>
        <w:r>
          <w:rPr>
            <w:color w:val="1154CC"/>
            <w:spacing w:val="-3"/>
            <w:sz w:val="20"/>
            <w:u w:val="single" w:color="1154CC"/>
          </w:rPr>
          <w:t xml:space="preserve"> </w:t>
        </w:r>
        <w:r>
          <w:rPr>
            <w:color w:val="1154CC"/>
            <w:sz w:val="20"/>
            <w:u w:val="single" w:color="1154CC"/>
          </w:rPr>
          <w:t>|</w:t>
        </w:r>
        <w:r>
          <w:rPr>
            <w:color w:val="1154CC"/>
            <w:spacing w:val="-1"/>
            <w:sz w:val="20"/>
            <w:u w:val="single" w:color="1154CC"/>
          </w:rPr>
          <w:t xml:space="preserve"> </w:t>
        </w:r>
        <w:r>
          <w:rPr>
            <w:color w:val="1154CC"/>
            <w:sz w:val="20"/>
            <w:u w:val="single" w:color="1154CC"/>
          </w:rPr>
          <w:t>OECD</w:t>
        </w:r>
        <w:r>
          <w:rPr>
            <w:color w:val="1154CC"/>
            <w:spacing w:val="-8"/>
            <w:sz w:val="20"/>
            <w:u w:val="single" w:color="1154CC"/>
          </w:rPr>
          <w:t xml:space="preserve"> </w:t>
        </w:r>
        <w:r>
          <w:rPr>
            <w:color w:val="1154CC"/>
            <w:sz w:val="20"/>
            <w:u w:val="single" w:color="1154CC"/>
          </w:rPr>
          <w:t>Reviews</w:t>
        </w:r>
        <w:r>
          <w:rPr>
            <w:color w:val="1154CC"/>
            <w:spacing w:val="-2"/>
            <w:sz w:val="20"/>
            <w:u w:val="single" w:color="1154CC"/>
          </w:rPr>
          <w:t xml:space="preserve"> </w:t>
        </w:r>
        <w:r>
          <w:rPr>
            <w:color w:val="1154CC"/>
            <w:sz w:val="20"/>
            <w:u w:val="single" w:color="1154CC"/>
          </w:rPr>
          <w:t>of Vocational</w:t>
        </w:r>
        <w:r>
          <w:rPr>
            <w:color w:val="1154CC"/>
            <w:spacing w:val="-3"/>
            <w:sz w:val="20"/>
            <w:u w:val="single" w:color="1154CC"/>
          </w:rPr>
          <w:t xml:space="preserve"> </w:t>
        </w:r>
        <w:r>
          <w:rPr>
            <w:color w:val="1154CC"/>
            <w:sz w:val="20"/>
            <w:u w:val="single" w:color="1154CC"/>
          </w:rPr>
          <w:t>Education</w:t>
        </w:r>
        <w:r>
          <w:rPr>
            <w:color w:val="1154CC"/>
            <w:spacing w:val="-3"/>
            <w:sz w:val="20"/>
            <w:u w:val="single" w:color="1154CC"/>
          </w:rPr>
          <w:t xml:space="preserve"> </w:t>
        </w:r>
        <w:r>
          <w:rPr>
            <w:color w:val="1154CC"/>
            <w:sz w:val="20"/>
            <w:u w:val="single" w:color="1154CC"/>
          </w:rPr>
          <w:t>and</w:t>
        </w:r>
      </w:hyperlink>
      <w:r>
        <w:rPr>
          <w:color w:val="1154CC"/>
          <w:sz w:val="20"/>
        </w:rPr>
        <w:t xml:space="preserve"> </w:t>
      </w:r>
      <w:hyperlink r:id="rId18">
        <w:r>
          <w:rPr>
            <w:color w:val="1154CC"/>
            <w:sz w:val="20"/>
            <w:u w:val="single" w:color="1154CC"/>
          </w:rPr>
          <w:t xml:space="preserve">Training | OECD </w:t>
        </w:r>
        <w:proofErr w:type="spellStart"/>
        <w:r>
          <w:rPr>
            <w:color w:val="1154CC"/>
            <w:sz w:val="20"/>
            <w:u w:val="single" w:color="1154CC"/>
          </w:rPr>
          <w:t>iLibrary</w:t>
        </w:r>
        <w:proofErr w:type="spellEnd"/>
        <w:r>
          <w:rPr>
            <w:color w:val="1154CC"/>
            <w:sz w:val="20"/>
            <w:u w:val="single" w:color="1154CC"/>
          </w:rPr>
          <w:t xml:space="preserve"> (oecd-ilibrary.org)</w:t>
        </w:r>
        <w:r>
          <w:rPr>
            <w:sz w:val="20"/>
          </w:rPr>
          <w:t>.</w:t>
        </w:r>
      </w:hyperlink>
    </w:p>
    <w:p w14:paraId="334A2647" w14:textId="77777777" w:rsidR="000E61B1" w:rsidRDefault="00000000">
      <w:pPr>
        <w:pStyle w:val="BodyText"/>
        <w:spacing w:before="1" w:line="256" w:lineRule="auto"/>
        <w:ind w:left="220" w:right="1481"/>
        <w:rPr>
          <w:rFonts w:ascii="Calibri"/>
        </w:rPr>
      </w:pPr>
      <w:r>
        <w:rPr>
          <w:rFonts w:ascii="Calibri"/>
          <w:vertAlign w:val="superscript"/>
        </w:rPr>
        <w:t>7</w:t>
      </w:r>
      <w:r>
        <w:rPr>
          <w:rFonts w:ascii="Calibri"/>
          <w:spacing w:val="-13"/>
        </w:rPr>
        <w:t xml:space="preserve"> </w:t>
      </w:r>
      <w:hyperlink r:id="rId19">
        <w:r>
          <w:rPr>
            <w:rFonts w:ascii="Calibri"/>
            <w:color w:val="0000FF"/>
            <w:u w:val="single" w:color="0000FF"/>
          </w:rPr>
          <w:t>https://op.europa.eu/en/publication-detail/-/publication/8f010ea2-265b-11e7-ab65-</w:t>
        </w:r>
      </w:hyperlink>
      <w:r>
        <w:rPr>
          <w:rFonts w:ascii="Calibri"/>
          <w:color w:val="0000FF"/>
        </w:rPr>
        <w:t xml:space="preserve"> </w:t>
      </w:r>
      <w:hyperlink r:id="rId20">
        <w:r>
          <w:rPr>
            <w:rFonts w:ascii="Calibri"/>
            <w:color w:val="0000FF"/>
            <w:spacing w:val="-2"/>
            <w:u w:val="single" w:color="0000FF"/>
          </w:rPr>
          <w:t>01aa75ed71a1/language-</w:t>
        </w:r>
        <w:proofErr w:type="spellStart"/>
        <w:r>
          <w:rPr>
            <w:rFonts w:ascii="Calibri"/>
            <w:color w:val="0000FF"/>
            <w:spacing w:val="-2"/>
            <w:u w:val="single" w:color="0000FF"/>
          </w:rPr>
          <w:t>en</w:t>
        </w:r>
        <w:proofErr w:type="spellEnd"/>
      </w:hyperlink>
    </w:p>
    <w:p w14:paraId="3EAB4E1B" w14:textId="77777777" w:rsidR="000E61B1" w:rsidRDefault="000E61B1">
      <w:pPr>
        <w:spacing w:line="256" w:lineRule="auto"/>
        <w:rPr>
          <w:rFonts w:ascii="Calibri"/>
        </w:rPr>
        <w:sectPr w:rsidR="000E61B1">
          <w:pgSz w:w="11910" w:h="16840"/>
          <w:pgMar w:top="1400" w:right="1220" w:bottom="280" w:left="1220" w:header="708" w:footer="0" w:gutter="0"/>
          <w:cols w:space="720"/>
        </w:sectPr>
      </w:pPr>
    </w:p>
    <w:p w14:paraId="4CE03341" w14:textId="77777777" w:rsidR="000E61B1" w:rsidRDefault="00000000">
      <w:pPr>
        <w:spacing w:before="30" w:line="259" w:lineRule="auto"/>
        <w:ind w:left="220" w:right="217"/>
        <w:jc w:val="both"/>
        <w:rPr>
          <w:i/>
        </w:rPr>
      </w:pPr>
      <w:r>
        <w:rPr>
          <w:i/>
        </w:rPr>
        <w:lastRenderedPageBreak/>
        <w:t xml:space="preserve">Principle 11: Promoting the permeability between VET and other educational and career pathways. An example from Finland shows how permanent systems for validating informal and non-formal learning (prior learning) can be </w:t>
      </w:r>
      <w:proofErr w:type="spellStart"/>
      <w:r>
        <w:rPr>
          <w:i/>
        </w:rPr>
        <w:t>organised</w:t>
      </w:r>
      <w:proofErr w:type="spellEnd"/>
    </w:p>
    <w:p w14:paraId="501B2F76" w14:textId="77777777" w:rsidR="000E61B1" w:rsidRDefault="00000000">
      <w:pPr>
        <w:spacing w:before="160" w:line="259" w:lineRule="auto"/>
        <w:ind w:left="220" w:right="216"/>
        <w:jc w:val="both"/>
        <w:rPr>
          <w:i/>
        </w:rPr>
      </w:pPr>
      <w:r>
        <w:rPr>
          <w:i/>
        </w:rPr>
        <w:t>Principle</w:t>
      </w:r>
      <w:r>
        <w:rPr>
          <w:i/>
          <w:spacing w:val="-8"/>
        </w:rPr>
        <w:t xml:space="preserve"> </w:t>
      </w:r>
      <w:r>
        <w:rPr>
          <w:i/>
        </w:rPr>
        <w:t>15:</w:t>
      </w:r>
      <w:r>
        <w:rPr>
          <w:i/>
          <w:spacing w:val="-9"/>
        </w:rPr>
        <w:t xml:space="preserve"> </w:t>
      </w:r>
      <w:r>
        <w:rPr>
          <w:i/>
        </w:rPr>
        <w:t>Promoting</w:t>
      </w:r>
      <w:r>
        <w:rPr>
          <w:i/>
          <w:spacing w:val="-8"/>
        </w:rPr>
        <w:t xml:space="preserve"> </w:t>
      </w:r>
      <w:r>
        <w:rPr>
          <w:i/>
        </w:rPr>
        <w:t>the</w:t>
      </w:r>
      <w:r>
        <w:rPr>
          <w:i/>
          <w:spacing w:val="-3"/>
        </w:rPr>
        <w:t xml:space="preserve"> </w:t>
      </w:r>
      <w:r>
        <w:rPr>
          <w:i/>
        </w:rPr>
        <w:t>attractiveness</w:t>
      </w:r>
      <w:r>
        <w:rPr>
          <w:i/>
          <w:spacing w:val="-5"/>
        </w:rPr>
        <w:t xml:space="preserve"> </w:t>
      </w:r>
      <w:r>
        <w:rPr>
          <w:i/>
        </w:rPr>
        <w:t>of</w:t>
      </w:r>
      <w:r>
        <w:rPr>
          <w:i/>
          <w:spacing w:val="-4"/>
        </w:rPr>
        <w:t xml:space="preserve"> </w:t>
      </w:r>
      <w:r>
        <w:rPr>
          <w:i/>
        </w:rPr>
        <w:t>VET</w:t>
      </w:r>
      <w:r>
        <w:rPr>
          <w:i/>
          <w:spacing w:val="-10"/>
        </w:rPr>
        <w:t xml:space="preserve"> </w:t>
      </w:r>
      <w:r>
        <w:rPr>
          <w:i/>
        </w:rPr>
        <w:t>and</w:t>
      </w:r>
      <w:r>
        <w:rPr>
          <w:i/>
          <w:spacing w:val="-3"/>
        </w:rPr>
        <w:t xml:space="preserve"> </w:t>
      </w:r>
      <w:r>
        <w:rPr>
          <w:i/>
        </w:rPr>
        <w:t>apprenticeships</w:t>
      </w:r>
      <w:r>
        <w:rPr>
          <w:i/>
          <w:spacing w:val="-10"/>
        </w:rPr>
        <w:t xml:space="preserve"> </w:t>
      </w:r>
      <w:r>
        <w:rPr>
          <w:i/>
        </w:rPr>
        <w:t>through</w:t>
      </w:r>
      <w:r>
        <w:rPr>
          <w:i/>
          <w:spacing w:val="-3"/>
        </w:rPr>
        <w:t xml:space="preserve"> </w:t>
      </w:r>
      <w:r>
        <w:rPr>
          <w:i/>
        </w:rPr>
        <w:t>a</w:t>
      </w:r>
      <w:r>
        <w:rPr>
          <w:i/>
          <w:spacing w:val="-8"/>
        </w:rPr>
        <w:t xml:space="preserve"> </w:t>
      </w:r>
      <w:r>
        <w:rPr>
          <w:i/>
        </w:rPr>
        <w:t>broad</w:t>
      </w:r>
      <w:r>
        <w:rPr>
          <w:i/>
          <w:spacing w:val="-3"/>
        </w:rPr>
        <w:t xml:space="preserve"> </w:t>
      </w:r>
      <w:r>
        <w:rPr>
          <w:i/>
        </w:rPr>
        <w:t>range of</w:t>
      </w:r>
      <w:r>
        <w:rPr>
          <w:i/>
          <w:spacing w:val="-6"/>
        </w:rPr>
        <w:t xml:space="preserve"> </w:t>
      </w:r>
      <w:r>
        <w:rPr>
          <w:i/>
        </w:rPr>
        <w:t>awareness-raising</w:t>
      </w:r>
      <w:r>
        <w:rPr>
          <w:i/>
          <w:spacing w:val="-9"/>
        </w:rPr>
        <w:t xml:space="preserve"> </w:t>
      </w:r>
      <w:r>
        <w:rPr>
          <w:i/>
        </w:rPr>
        <w:t>activities.</w:t>
      </w:r>
      <w:r>
        <w:rPr>
          <w:i/>
          <w:spacing w:val="-6"/>
        </w:rPr>
        <w:t xml:space="preserve"> </w:t>
      </w:r>
      <w:r>
        <w:rPr>
          <w:i/>
        </w:rPr>
        <w:t>The</w:t>
      </w:r>
      <w:r>
        <w:rPr>
          <w:i/>
          <w:spacing w:val="-5"/>
        </w:rPr>
        <w:t xml:space="preserve"> </w:t>
      </w:r>
      <w:r>
        <w:rPr>
          <w:i/>
        </w:rPr>
        <w:t>job-shadowing</w:t>
      </w:r>
      <w:r>
        <w:rPr>
          <w:i/>
          <w:spacing w:val="-9"/>
        </w:rPr>
        <w:t xml:space="preserve"> </w:t>
      </w:r>
      <w:proofErr w:type="spellStart"/>
      <w:r>
        <w:rPr>
          <w:i/>
        </w:rPr>
        <w:t>programme</w:t>
      </w:r>
      <w:proofErr w:type="spellEnd"/>
      <w:r>
        <w:rPr>
          <w:i/>
          <w:spacing w:val="-5"/>
        </w:rPr>
        <w:t xml:space="preserve"> </w:t>
      </w:r>
      <w:r>
        <w:rPr>
          <w:i/>
        </w:rPr>
        <w:t>from</w:t>
      </w:r>
      <w:r>
        <w:rPr>
          <w:i/>
          <w:spacing w:val="-8"/>
        </w:rPr>
        <w:t xml:space="preserve"> </w:t>
      </w:r>
      <w:r>
        <w:rPr>
          <w:i/>
        </w:rPr>
        <w:t>Norway</w:t>
      </w:r>
      <w:r>
        <w:rPr>
          <w:i/>
          <w:spacing w:val="-7"/>
        </w:rPr>
        <w:t xml:space="preserve"> </w:t>
      </w:r>
      <w:r>
        <w:rPr>
          <w:i/>
        </w:rPr>
        <w:t>is</w:t>
      </w:r>
      <w:r>
        <w:rPr>
          <w:i/>
          <w:spacing w:val="-11"/>
        </w:rPr>
        <w:t xml:space="preserve"> </w:t>
      </w:r>
      <w:r>
        <w:rPr>
          <w:i/>
        </w:rPr>
        <w:t>an</w:t>
      </w:r>
      <w:r>
        <w:rPr>
          <w:i/>
          <w:spacing w:val="-9"/>
        </w:rPr>
        <w:t xml:space="preserve"> </w:t>
      </w:r>
      <w:r>
        <w:rPr>
          <w:i/>
        </w:rPr>
        <w:t>example</w:t>
      </w:r>
      <w:r>
        <w:rPr>
          <w:i/>
          <w:spacing w:val="-9"/>
        </w:rPr>
        <w:t xml:space="preserve"> </w:t>
      </w:r>
      <w:r>
        <w:rPr>
          <w:i/>
        </w:rPr>
        <w:t xml:space="preserve">of how to </w:t>
      </w:r>
      <w:proofErr w:type="spellStart"/>
      <w:r>
        <w:rPr>
          <w:i/>
        </w:rPr>
        <w:t>organise</w:t>
      </w:r>
      <w:proofErr w:type="spellEnd"/>
      <w:r>
        <w:rPr>
          <w:i/>
        </w:rPr>
        <w:t xml:space="preserve"> an initiative that can provide young people with insight into a career path </w:t>
      </w:r>
      <w:proofErr w:type="gramStart"/>
      <w:r>
        <w:rPr>
          <w:i/>
        </w:rPr>
        <w:t>in order to</w:t>
      </w:r>
      <w:proofErr w:type="gramEnd"/>
      <w:r>
        <w:rPr>
          <w:i/>
        </w:rPr>
        <w:t xml:space="preserve"> make well-founded choices. See </w:t>
      </w:r>
      <w:hyperlink r:id="rId21">
        <w:r>
          <w:rPr>
            <w:i/>
          </w:rPr>
          <w:t>http://www.cedefop.europa.eu/files/5514_en.pdf.</w:t>
        </w:r>
      </w:hyperlink>
    </w:p>
    <w:p w14:paraId="3DF89C75" w14:textId="77777777" w:rsidR="000E61B1" w:rsidRDefault="00000000">
      <w:pPr>
        <w:spacing w:before="160" w:line="259" w:lineRule="auto"/>
        <w:ind w:left="220" w:right="227"/>
        <w:jc w:val="both"/>
        <w:rPr>
          <w:i/>
        </w:rPr>
      </w:pPr>
      <w:r>
        <w:rPr>
          <w:i/>
        </w:rPr>
        <w:t>Principle 19: Ensuring fair, valid, and authentic assessment of learning outcomes.</w:t>
      </w:r>
      <w:r>
        <w:rPr>
          <w:i/>
          <w:spacing w:val="40"/>
        </w:rPr>
        <w:t xml:space="preserve"> </w:t>
      </w:r>
      <w:r>
        <w:rPr>
          <w:i/>
        </w:rPr>
        <w:t xml:space="preserve">A case study from Finland shows how innovative procedures for assessing the apprenticeships can be </w:t>
      </w:r>
      <w:proofErr w:type="spellStart"/>
      <w:r>
        <w:rPr>
          <w:i/>
        </w:rPr>
        <w:t>organised</w:t>
      </w:r>
      <w:proofErr w:type="spellEnd"/>
      <w:r>
        <w:rPr>
          <w:i/>
        </w:rPr>
        <w:t xml:space="preserve"> at provider and employer level.</w:t>
      </w:r>
    </w:p>
    <w:p w14:paraId="0596FF23" w14:textId="77777777" w:rsidR="000E61B1" w:rsidRDefault="00000000">
      <w:pPr>
        <w:pStyle w:val="BodyText"/>
        <w:spacing w:before="160" w:line="259" w:lineRule="auto"/>
        <w:ind w:left="220" w:right="214"/>
        <w:jc w:val="both"/>
      </w:pPr>
      <w:r>
        <w:t xml:space="preserve">The </w:t>
      </w:r>
      <w:r>
        <w:rPr>
          <w:b/>
        </w:rPr>
        <w:t xml:space="preserve">European Commission </w:t>
      </w:r>
      <w:r>
        <w:t xml:space="preserve">has produced </w:t>
      </w:r>
      <w:proofErr w:type="gramStart"/>
      <w:r>
        <w:t>a number of</w:t>
      </w:r>
      <w:proofErr w:type="gramEnd"/>
      <w:r>
        <w:t xml:space="preserve"> videoed webinars which can be accessed through YouTube via the links shown below.</w:t>
      </w:r>
      <w:r>
        <w:rPr>
          <w:spacing w:val="40"/>
        </w:rPr>
        <w:t xml:space="preserve"> </w:t>
      </w:r>
      <w:r>
        <w:t>The webinars</w:t>
      </w:r>
      <w:r>
        <w:rPr>
          <w:vertAlign w:val="superscript"/>
        </w:rPr>
        <w:t>8</w:t>
      </w:r>
      <w:r>
        <w:t xml:space="preserve"> are clearly titled and themed and contain good quality guidance from a range of experts in their field from across vocational and technical education sector:</w:t>
      </w:r>
    </w:p>
    <w:p w14:paraId="0CC691E6" w14:textId="77777777" w:rsidR="000E61B1" w:rsidRDefault="00000000">
      <w:pPr>
        <w:spacing w:before="161" w:line="264" w:lineRule="auto"/>
        <w:ind w:left="220" w:right="207"/>
        <w:jc w:val="both"/>
      </w:pPr>
      <w:r>
        <w:rPr>
          <w:b/>
        </w:rPr>
        <w:t xml:space="preserve">Assistive technologies and accessible digital learning environment for persons with disabilities. </w:t>
      </w:r>
      <w:hyperlink r:id="rId22">
        <w:r>
          <w:rPr>
            <w:color w:val="1154CC"/>
            <w:u w:val="single" w:color="1154CC"/>
          </w:rPr>
          <w:t>Live discussion: Assistive technologies and accessible digital learning</w:t>
        </w:r>
      </w:hyperlink>
      <w:r>
        <w:rPr>
          <w:color w:val="1154CC"/>
        </w:rPr>
        <w:t xml:space="preserve"> </w:t>
      </w:r>
      <w:hyperlink r:id="rId23">
        <w:r>
          <w:rPr>
            <w:color w:val="1154CC"/>
            <w:u w:val="single" w:color="1154CC"/>
          </w:rPr>
          <w:t>environment for</w:t>
        </w:r>
        <w:r>
          <w:rPr>
            <w:color w:val="1154CC"/>
            <w:spacing w:val="-2"/>
            <w:u w:val="single" w:color="1154CC"/>
          </w:rPr>
          <w:t xml:space="preserve"> </w:t>
        </w:r>
        <w:r>
          <w:rPr>
            <w:color w:val="1154CC"/>
            <w:u w:val="single" w:color="1154CC"/>
          </w:rPr>
          <w:t>persons</w:t>
        </w:r>
        <w:r>
          <w:rPr>
            <w:color w:val="1154CC"/>
            <w:spacing w:val="-1"/>
            <w:u w:val="single" w:color="1154CC"/>
          </w:rPr>
          <w:t xml:space="preserve"> </w:t>
        </w:r>
        <w:r>
          <w:rPr>
            <w:color w:val="1154CC"/>
            <w:u w:val="single" w:color="1154CC"/>
          </w:rPr>
          <w:t>with disabilities -</w:t>
        </w:r>
        <w:r>
          <w:rPr>
            <w:color w:val="1154CC"/>
            <w:spacing w:val="-2"/>
            <w:u w:val="single" w:color="1154CC"/>
          </w:rPr>
          <w:t xml:space="preserve"> </w:t>
        </w:r>
        <w:r>
          <w:rPr>
            <w:color w:val="1154CC"/>
            <w:u w:val="single" w:color="1154CC"/>
          </w:rPr>
          <w:t>Employment,</w:t>
        </w:r>
        <w:r>
          <w:rPr>
            <w:color w:val="1154CC"/>
            <w:spacing w:val="-4"/>
            <w:u w:val="single" w:color="1154CC"/>
          </w:rPr>
          <w:t xml:space="preserve"> </w:t>
        </w:r>
        <w:r>
          <w:rPr>
            <w:color w:val="1154CC"/>
            <w:u w:val="single" w:color="1154CC"/>
          </w:rPr>
          <w:t>Social</w:t>
        </w:r>
        <w:r>
          <w:rPr>
            <w:color w:val="1154CC"/>
            <w:spacing w:val="-1"/>
            <w:u w:val="single" w:color="1154CC"/>
          </w:rPr>
          <w:t xml:space="preserve"> </w:t>
        </w:r>
        <w:r>
          <w:rPr>
            <w:color w:val="1154CC"/>
            <w:u w:val="single" w:color="1154CC"/>
          </w:rPr>
          <w:t>Affairs</w:t>
        </w:r>
        <w:r>
          <w:rPr>
            <w:color w:val="1154CC"/>
            <w:spacing w:val="-1"/>
            <w:u w:val="single" w:color="1154CC"/>
          </w:rPr>
          <w:t xml:space="preserve"> </w:t>
        </w:r>
        <w:r>
          <w:rPr>
            <w:color w:val="1154CC"/>
            <w:u w:val="single" w:color="1154CC"/>
          </w:rPr>
          <w:t>&amp; Inclusion -</w:t>
        </w:r>
        <w:r>
          <w:rPr>
            <w:color w:val="1154CC"/>
            <w:spacing w:val="-7"/>
            <w:u w:val="single" w:color="1154CC"/>
          </w:rPr>
          <w:t xml:space="preserve"> </w:t>
        </w:r>
        <w:r>
          <w:rPr>
            <w:color w:val="1154CC"/>
            <w:u w:val="single" w:color="1154CC"/>
          </w:rPr>
          <w:t>European</w:t>
        </w:r>
      </w:hyperlink>
      <w:r>
        <w:rPr>
          <w:color w:val="1154CC"/>
        </w:rPr>
        <w:t xml:space="preserve"> </w:t>
      </w:r>
      <w:hyperlink r:id="rId24">
        <w:r>
          <w:rPr>
            <w:color w:val="1154CC"/>
            <w:u w:val="single" w:color="1154CC"/>
          </w:rPr>
          <w:t>Commission (europa.eu)</w:t>
        </w:r>
      </w:hyperlink>
    </w:p>
    <w:p w14:paraId="38D7D02A" w14:textId="77777777" w:rsidR="000E61B1" w:rsidRDefault="00000000">
      <w:pPr>
        <w:spacing w:before="121" w:line="261" w:lineRule="auto"/>
        <w:ind w:left="220" w:right="211"/>
        <w:jc w:val="both"/>
      </w:pPr>
      <w:r>
        <w:rPr>
          <w:b/>
        </w:rPr>
        <w:t>Apprenticeship coalitions − experiences and advantages (</w:t>
      </w:r>
      <w:proofErr w:type="spellStart"/>
      <w:r>
        <w:rPr>
          <w:b/>
        </w:rPr>
        <w:t>incentivising</w:t>
      </w:r>
      <w:proofErr w:type="spellEnd"/>
      <w:r>
        <w:rPr>
          <w:b/>
        </w:rPr>
        <w:t xml:space="preserve"> stakeholder partnerships to better address the current </w:t>
      </w:r>
      <w:proofErr w:type="spellStart"/>
      <w:r>
        <w:rPr>
          <w:b/>
        </w:rPr>
        <w:t>labour</w:t>
      </w:r>
      <w:proofErr w:type="spellEnd"/>
      <w:r>
        <w:rPr>
          <w:b/>
        </w:rPr>
        <w:t xml:space="preserve"> market needs). </w:t>
      </w:r>
      <w:hyperlink r:id="rId25">
        <w:r>
          <w:rPr>
            <w:color w:val="1154CC"/>
            <w:u w:val="single" w:color="1154CC"/>
          </w:rPr>
          <w:t>Webinar:</w:t>
        </w:r>
      </w:hyperlink>
      <w:r>
        <w:rPr>
          <w:color w:val="1154CC"/>
        </w:rPr>
        <w:t xml:space="preserve"> </w:t>
      </w:r>
      <w:hyperlink r:id="rId26">
        <w:r>
          <w:rPr>
            <w:color w:val="1154CC"/>
            <w:u w:val="single" w:color="1154CC"/>
          </w:rPr>
          <w:t>Apprenticeship coalitions − experiences and advantages - Employment, Social Affairs &amp;</w:t>
        </w:r>
      </w:hyperlink>
      <w:r>
        <w:rPr>
          <w:color w:val="1154CC"/>
        </w:rPr>
        <w:t xml:space="preserve"> </w:t>
      </w:r>
      <w:hyperlink r:id="rId27">
        <w:r>
          <w:rPr>
            <w:color w:val="1154CC"/>
            <w:u w:val="single" w:color="1154CC"/>
          </w:rPr>
          <w:t>Inclusion - European Commission (europa.eu)</w:t>
        </w:r>
      </w:hyperlink>
    </w:p>
    <w:p w14:paraId="4A59AA28" w14:textId="77777777" w:rsidR="000E61B1" w:rsidRDefault="00000000">
      <w:pPr>
        <w:spacing w:before="125" w:line="264" w:lineRule="auto"/>
        <w:ind w:left="220" w:right="209"/>
        <w:jc w:val="both"/>
      </w:pPr>
      <w:r>
        <w:rPr>
          <w:b/>
        </w:rPr>
        <w:t xml:space="preserve">How sectoral social partners collaborate to promote and develop apprenticeships in hospitality and construction. </w:t>
      </w:r>
      <w:hyperlink r:id="rId28">
        <w:r>
          <w:rPr>
            <w:color w:val="1154CC"/>
            <w:u w:val="single" w:color="1154CC"/>
          </w:rPr>
          <w:t>Live discussion: How sectoral social partners collaborate to</w:t>
        </w:r>
      </w:hyperlink>
      <w:r>
        <w:rPr>
          <w:color w:val="1154CC"/>
        </w:rPr>
        <w:t xml:space="preserve"> </w:t>
      </w:r>
      <w:hyperlink r:id="rId29">
        <w:r>
          <w:rPr>
            <w:color w:val="1154CC"/>
            <w:u w:val="single" w:color="1154CC"/>
          </w:rPr>
          <w:t>promote and develop apprenticeships in hospitality and construction - Employment, Social</w:t>
        </w:r>
      </w:hyperlink>
      <w:r>
        <w:rPr>
          <w:color w:val="1154CC"/>
        </w:rPr>
        <w:t xml:space="preserve"> </w:t>
      </w:r>
      <w:hyperlink r:id="rId30">
        <w:r>
          <w:rPr>
            <w:color w:val="1154CC"/>
            <w:u w:val="single" w:color="1154CC"/>
          </w:rPr>
          <w:t>Affairs &amp; Inclusion - European Commission (europa.eu)</w:t>
        </w:r>
      </w:hyperlink>
    </w:p>
    <w:p w14:paraId="6CE1A4A2" w14:textId="77777777" w:rsidR="000E61B1" w:rsidRDefault="00000000">
      <w:pPr>
        <w:spacing w:before="121" w:line="264" w:lineRule="auto"/>
        <w:ind w:left="220" w:right="207"/>
        <w:jc w:val="both"/>
      </w:pPr>
      <w:r>
        <w:rPr>
          <w:b/>
        </w:rPr>
        <w:t xml:space="preserve">Pedagogical support for apprenticeships: teachers and trainers </w:t>
      </w:r>
      <w:hyperlink r:id="rId31">
        <w:r>
          <w:rPr>
            <w:color w:val="1154CC"/>
            <w:u w:val="single" w:color="1154CC"/>
          </w:rPr>
          <w:t>Webinar: Pedagogical</w:t>
        </w:r>
      </w:hyperlink>
      <w:r>
        <w:rPr>
          <w:color w:val="1154CC"/>
        </w:rPr>
        <w:t xml:space="preserve"> </w:t>
      </w:r>
      <w:hyperlink r:id="rId32">
        <w:r>
          <w:rPr>
            <w:color w:val="1154CC"/>
            <w:u w:val="single" w:color="1154CC"/>
          </w:rPr>
          <w:t>support for apprenticeships: teachers and trainers - Employment, Social Affairs &amp; Inclusion -</w:t>
        </w:r>
      </w:hyperlink>
      <w:r>
        <w:rPr>
          <w:color w:val="1154CC"/>
        </w:rPr>
        <w:t xml:space="preserve"> </w:t>
      </w:r>
      <w:hyperlink r:id="rId33">
        <w:r>
          <w:rPr>
            <w:color w:val="1154CC"/>
            <w:u w:val="single" w:color="1154CC"/>
          </w:rPr>
          <w:t>European Commission (europa.eu)</w:t>
        </w:r>
      </w:hyperlink>
    </w:p>
    <w:p w14:paraId="2775CE78" w14:textId="77777777" w:rsidR="000E61B1" w:rsidRDefault="00000000">
      <w:pPr>
        <w:spacing w:before="121" w:line="264" w:lineRule="auto"/>
        <w:ind w:left="220" w:right="212"/>
        <w:jc w:val="both"/>
      </w:pPr>
      <w:r>
        <w:rPr>
          <w:b/>
        </w:rPr>
        <w:t xml:space="preserve">Going digital − simulations and gaming in apprenticeships </w:t>
      </w:r>
      <w:hyperlink r:id="rId34">
        <w:r>
          <w:rPr>
            <w:color w:val="1154CC"/>
            <w:u w:val="single" w:color="1154CC"/>
          </w:rPr>
          <w:t>Webinar: Going digital −</w:t>
        </w:r>
      </w:hyperlink>
      <w:r>
        <w:rPr>
          <w:color w:val="1154CC"/>
        </w:rPr>
        <w:t xml:space="preserve"> </w:t>
      </w:r>
      <w:hyperlink r:id="rId35">
        <w:r>
          <w:rPr>
            <w:color w:val="1154CC"/>
            <w:u w:val="single" w:color="1154CC"/>
          </w:rPr>
          <w:t>simulations and gaming in apprenticeships - Employment, Social Affairs &amp; Inclusion -</w:t>
        </w:r>
      </w:hyperlink>
      <w:r>
        <w:rPr>
          <w:color w:val="1154CC"/>
        </w:rPr>
        <w:t xml:space="preserve"> </w:t>
      </w:r>
      <w:hyperlink r:id="rId36">
        <w:r>
          <w:rPr>
            <w:color w:val="1154CC"/>
            <w:u w:val="single" w:color="1154CC"/>
          </w:rPr>
          <w:t>European Commission (europa.eu)</w:t>
        </w:r>
      </w:hyperlink>
    </w:p>
    <w:p w14:paraId="6D7E8F8F" w14:textId="77777777" w:rsidR="000E61B1" w:rsidRDefault="00000000">
      <w:pPr>
        <w:spacing w:before="121" w:line="264" w:lineRule="auto"/>
        <w:ind w:left="220" w:right="212"/>
        <w:jc w:val="both"/>
      </w:pPr>
      <w:r>
        <w:rPr>
          <w:b/>
        </w:rPr>
        <w:t>Role of Chambers in fostering</w:t>
      </w:r>
      <w:r>
        <w:rPr>
          <w:b/>
          <w:spacing w:val="-2"/>
        </w:rPr>
        <w:t xml:space="preserve"> </w:t>
      </w:r>
      <w:r>
        <w:rPr>
          <w:b/>
        </w:rPr>
        <w:t>apprenticeships</w:t>
      </w:r>
      <w:r>
        <w:rPr>
          <w:b/>
          <w:spacing w:val="-1"/>
        </w:rPr>
        <w:t xml:space="preserve"> </w:t>
      </w:r>
      <w:r>
        <w:rPr>
          <w:b/>
        </w:rPr>
        <w:t xml:space="preserve">in Europe </w:t>
      </w:r>
      <w:hyperlink r:id="rId37">
        <w:r>
          <w:rPr>
            <w:color w:val="1154CC"/>
            <w:u w:val="single" w:color="1154CC"/>
          </w:rPr>
          <w:t>Webinar: Role</w:t>
        </w:r>
        <w:r>
          <w:rPr>
            <w:color w:val="1154CC"/>
            <w:spacing w:val="-1"/>
            <w:u w:val="single" w:color="1154CC"/>
          </w:rPr>
          <w:t xml:space="preserve"> </w:t>
        </w:r>
        <w:r>
          <w:rPr>
            <w:color w:val="1154CC"/>
            <w:u w:val="single" w:color="1154CC"/>
          </w:rPr>
          <w:t>of</w:t>
        </w:r>
        <w:r>
          <w:rPr>
            <w:color w:val="1154CC"/>
            <w:spacing w:val="-1"/>
            <w:u w:val="single" w:color="1154CC"/>
          </w:rPr>
          <w:t xml:space="preserve"> </w:t>
        </w:r>
        <w:r>
          <w:rPr>
            <w:color w:val="1154CC"/>
            <w:u w:val="single" w:color="1154CC"/>
          </w:rPr>
          <w:t>Chambers</w:t>
        </w:r>
        <w:r>
          <w:rPr>
            <w:color w:val="1154CC"/>
            <w:spacing w:val="-2"/>
            <w:u w:val="single" w:color="1154CC"/>
          </w:rPr>
          <w:t xml:space="preserve"> </w:t>
        </w:r>
        <w:r>
          <w:rPr>
            <w:color w:val="1154CC"/>
            <w:u w:val="single" w:color="1154CC"/>
          </w:rPr>
          <w:t>in</w:t>
        </w:r>
      </w:hyperlink>
      <w:r>
        <w:rPr>
          <w:color w:val="1154CC"/>
        </w:rPr>
        <w:t xml:space="preserve"> </w:t>
      </w:r>
      <w:hyperlink r:id="rId38">
        <w:r>
          <w:rPr>
            <w:color w:val="1154CC"/>
            <w:u w:val="single" w:color="1154CC"/>
          </w:rPr>
          <w:t>fostering apprenticeships in Europe - Employment, Social Affairs &amp; Inclusion - European</w:t>
        </w:r>
      </w:hyperlink>
      <w:r>
        <w:rPr>
          <w:color w:val="1154CC"/>
        </w:rPr>
        <w:t xml:space="preserve"> </w:t>
      </w:r>
      <w:hyperlink r:id="rId39">
        <w:r>
          <w:rPr>
            <w:color w:val="1154CC"/>
            <w:u w:val="single" w:color="1154CC"/>
          </w:rPr>
          <w:t>Commission (europa.eu)</w:t>
        </w:r>
      </w:hyperlink>
    </w:p>
    <w:p w14:paraId="2B56431B" w14:textId="77777777" w:rsidR="000E61B1" w:rsidRDefault="00000000">
      <w:pPr>
        <w:spacing w:before="120" w:line="264" w:lineRule="auto"/>
        <w:ind w:left="220" w:right="211"/>
        <w:jc w:val="both"/>
      </w:pPr>
      <w:r>
        <w:rPr>
          <w:b/>
        </w:rPr>
        <w:t>Career</w:t>
      </w:r>
      <w:r>
        <w:rPr>
          <w:b/>
          <w:spacing w:val="-8"/>
        </w:rPr>
        <w:t xml:space="preserve"> </w:t>
      </w:r>
      <w:r>
        <w:rPr>
          <w:b/>
        </w:rPr>
        <w:t>guidance</w:t>
      </w:r>
      <w:r>
        <w:rPr>
          <w:b/>
          <w:spacing w:val="-11"/>
        </w:rPr>
        <w:t xml:space="preserve"> </w:t>
      </w:r>
      <w:r>
        <w:rPr>
          <w:b/>
        </w:rPr>
        <w:t>and</w:t>
      </w:r>
      <w:r>
        <w:rPr>
          <w:b/>
          <w:spacing w:val="-13"/>
        </w:rPr>
        <w:t xml:space="preserve"> </w:t>
      </w:r>
      <w:r>
        <w:rPr>
          <w:b/>
        </w:rPr>
        <w:t>awareness</w:t>
      </w:r>
      <w:r>
        <w:rPr>
          <w:b/>
          <w:spacing w:val="-6"/>
        </w:rPr>
        <w:t xml:space="preserve"> </w:t>
      </w:r>
      <w:r>
        <w:rPr>
          <w:b/>
        </w:rPr>
        <w:t>raising</w:t>
      </w:r>
      <w:r>
        <w:rPr>
          <w:b/>
          <w:spacing w:val="-13"/>
        </w:rPr>
        <w:t xml:space="preserve"> </w:t>
      </w:r>
      <w:r>
        <w:rPr>
          <w:b/>
        </w:rPr>
        <w:t>on</w:t>
      </w:r>
      <w:r>
        <w:rPr>
          <w:b/>
          <w:spacing w:val="-13"/>
        </w:rPr>
        <w:t xml:space="preserve"> </w:t>
      </w:r>
      <w:r>
        <w:rPr>
          <w:b/>
        </w:rPr>
        <w:t>apprenticeships</w:t>
      </w:r>
      <w:r>
        <w:rPr>
          <w:b/>
          <w:spacing w:val="-11"/>
        </w:rPr>
        <w:t xml:space="preserve"> </w:t>
      </w:r>
      <w:r>
        <w:rPr>
          <w:b/>
        </w:rPr>
        <w:t>as</w:t>
      </w:r>
      <w:r>
        <w:rPr>
          <w:b/>
          <w:spacing w:val="-6"/>
        </w:rPr>
        <w:t xml:space="preserve"> </w:t>
      </w:r>
      <w:r>
        <w:rPr>
          <w:b/>
        </w:rPr>
        <w:t>the</w:t>
      </w:r>
      <w:r>
        <w:rPr>
          <w:b/>
          <w:spacing w:val="-6"/>
        </w:rPr>
        <w:t xml:space="preserve"> </w:t>
      </w:r>
      <w:r>
        <w:rPr>
          <w:b/>
        </w:rPr>
        <w:t>first</w:t>
      </w:r>
      <w:r>
        <w:rPr>
          <w:b/>
          <w:spacing w:val="-13"/>
        </w:rPr>
        <w:t xml:space="preserve"> </w:t>
      </w:r>
      <w:r>
        <w:rPr>
          <w:b/>
        </w:rPr>
        <w:t>choice</w:t>
      </w:r>
      <w:r>
        <w:rPr>
          <w:b/>
          <w:spacing w:val="-2"/>
        </w:rPr>
        <w:t xml:space="preserve"> </w:t>
      </w:r>
      <w:hyperlink r:id="rId40">
        <w:r>
          <w:rPr>
            <w:color w:val="1154CC"/>
            <w:u w:val="single" w:color="1154CC"/>
          </w:rPr>
          <w:t>Webinar:</w:t>
        </w:r>
      </w:hyperlink>
      <w:r>
        <w:rPr>
          <w:color w:val="1154CC"/>
        </w:rPr>
        <w:t xml:space="preserve"> </w:t>
      </w:r>
      <w:hyperlink r:id="rId41">
        <w:r>
          <w:rPr>
            <w:color w:val="1154CC"/>
            <w:u w:val="single" w:color="1154CC"/>
          </w:rPr>
          <w:t>Career</w:t>
        </w:r>
        <w:r>
          <w:rPr>
            <w:color w:val="1154CC"/>
            <w:spacing w:val="-9"/>
            <w:u w:val="single" w:color="1154CC"/>
          </w:rPr>
          <w:t xml:space="preserve"> </w:t>
        </w:r>
        <w:r>
          <w:rPr>
            <w:color w:val="1154CC"/>
            <w:u w:val="single" w:color="1154CC"/>
          </w:rPr>
          <w:t>guidance</w:t>
        </w:r>
        <w:r>
          <w:rPr>
            <w:color w:val="1154CC"/>
            <w:spacing w:val="-5"/>
            <w:u w:val="single" w:color="1154CC"/>
          </w:rPr>
          <w:t xml:space="preserve"> </w:t>
        </w:r>
        <w:r>
          <w:rPr>
            <w:color w:val="1154CC"/>
            <w:u w:val="single" w:color="1154CC"/>
          </w:rPr>
          <w:t>and</w:t>
        </w:r>
        <w:r>
          <w:rPr>
            <w:color w:val="1154CC"/>
            <w:spacing w:val="-5"/>
            <w:u w:val="single" w:color="1154CC"/>
          </w:rPr>
          <w:t xml:space="preserve"> </w:t>
        </w:r>
        <w:r>
          <w:rPr>
            <w:color w:val="1154CC"/>
            <w:u w:val="single" w:color="1154CC"/>
          </w:rPr>
          <w:t>awareness</w:t>
        </w:r>
        <w:r>
          <w:rPr>
            <w:color w:val="1154CC"/>
            <w:spacing w:val="-1"/>
            <w:u w:val="single" w:color="1154CC"/>
          </w:rPr>
          <w:t xml:space="preserve"> </w:t>
        </w:r>
        <w:r>
          <w:rPr>
            <w:color w:val="1154CC"/>
            <w:u w:val="single" w:color="1154CC"/>
          </w:rPr>
          <w:t>raising</w:t>
        </w:r>
        <w:r>
          <w:rPr>
            <w:color w:val="1154CC"/>
            <w:spacing w:val="-5"/>
            <w:u w:val="single" w:color="1154CC"/>
          </w:rPr>
          <w:t xml:space="preserve"> </w:t>
        </w:r>
        <w:r>
          <w:rPr>
            <w:color w:val="1154CC"/>
            <w:u w:val="single" w:color="1154CC"/>
          </w:rPr>
          <w:t>on</w:t>
        </w:r>
        <w:r>
          <w:rPr>
            <w:color w:val="1154CC"/>
            <w:spacing w:val="-5"/>
            <w:u w:val="single" w:color="1154CC"/>
          </w:rPr>
          <w:t xml:space="preserve"> </w:t>
        </w:r>
        <w:r>
          <w:rPr>
            <w:color w:val="1154CC"/>
            <w:u w:val="single" w:color="1154CC"/>
          </w:rPr>
          <w:t>apprenticeships</w:t>
        </w:r>
        <w:r>
          <w:rPr>
            <w:color w:val="1154CC"/>
            <w:spacing w:val="-7"/>
            <w:u w:val="single" w:color="1154CC"/>
          </w:rPr>
          <w:t xml:space="preserve"> </w:t>
        </w:r>
        <w:r>
          <w:rPr>
            <w:color w:val="1154CC"/>
            <w:u w:val="single" w:color="1154CC"/>
          </w:rPr>
          <w:t>as</w:t>
        </w:r>
        <w:r>
          <w:rPr>
            <w:color w:val="1154CC"/>
            <w:spacing w:val="-7"/>
            <w:u w:val="single" w:color="1154CC"/>
          </w:rPr>
          <w:t xml:space="preserve"> </w:t>
        </w:r>
        <w:r>
          <w:rPr>
            <w:color w:val="1154CC"/>
            <w:u w:val="single" w:color="1154CC"/>
          </w:rPr>
          <w:t>the</w:t>
        </w:r>
        <w:r>
          <w:rPr>
            <w:color w:val="1154CC"/>
            <w:spacing w:val="-5"/>
            <w:u w:val="single" w:color="1154CC"/>
          </w:rPr>
          <w:t xml:space="preserve"> </w:t>
        </w:r>
        <w:r>
          <w:rPr>
            <w:color w:val="1154CC"/>
            <w:u w:val="single" w:color="1154CC"/>
          </w:rPr>
          <w:t>first</w:t>
        </w:r>
        <w:r>
          <w:rPr>
            <w:color w:val="1154CC"/>
            <w:spacing w:val="-6"/>
            <w:u w:val="single" w:color="1154CC"/>
          </w:rPr>
          <w:t xml:space="preserve"> </w:t>
        </w:r>
        <w:r>
          <w:rPr>
            <w:color w:val="1154CC"/>
            <w:u w:val="single" w:color="1154CC"/>
          </w:rPr>
          <w:t>choice -</w:t>
        </w:r>
        <w:r>
          <w:rPr>
            <w:color w:val="1154CC"/>
            <w:spacing w:val="-9"/>
            <w:u w:val="single" w:color="1154CC"/>
          </w:rPr>
          <w:t xml:space="preserve"> </w:t>
        </w:r>
        <w:r>
          <w:rPr>
            <w:color w:val="1154CC"/>
            <w:u w:val="single" w:color="1154CC"/>
          </w:rPr>
          <w:t>Employment,</w:t>
        </w:r>
      </w:hyperlink>
      <w:r>
        <w:rPr>
          <w:color w:val="1154CC"/>
        </w:rPr>
        <w:t xml:space="preserve"> </w:t>
      </w:r>
      <w:hyperlink r:id="rId42">
        <w:r>
          <w:rPr>
            <w:color w:val="1154CC"/>
            <w:u w:val="single" w:color="1154CC"/>
          </w:rPr>
          <w:t>Social Affairs &amp; Inclusion - European Commission (europa.eu)</w:t>
        </w:r>
      </w:hyperlink>
    </w:p>
    <w:p w14:paraId="27593ADA" w14:textId="77777777" w:rsidR="000E61B1" w:rsidRDefault="00000000">
      <w:pPr>
        <w:spacing w:before="121" w:line="259" w:lineRule="auto"/>
        <w:ind w:left="220" w:right="214" w:firstLine="62"/>
        <w:jc w:val="both"/>
      </w:pPr>
      <w:r>
        <w:rPr>
          <w:b/>
        </w:rPr>
        <w:t xml:space="preserve">Critical success factors for apprenticeships webinar </w:t>
      </w:r>
      <w:hyperlink r:id="rId43">
        <w:r>
          <w:rPr>
            <w:color w:val="1154CC"/>
            <w:u w:val="single" w:color="1154CC"/>
          </w:rPr>
          <w:t>Critical success factors for</w:t>
        </w:r>
      </w:hyperlink>
      <w:r>
        <w:rPr>
          <w:color w:val="1154CC"/>
        </w:rPr>
        <w:t xml:space="preserve"> </w:t>
      </w:r>
      <w:hyperlink r:id="rId44">
        <w:r>
          <w:rPr>
            <w:color w:val="1154CC"/>
            <w:u w:val="single" w:color="1154CC"/>
          </w:rPr>
          <w:t>apprenticeships webinar - Employment, Social Affairs &amp; Inclusion - European Commission</w:t>
        </w:r>
      </w:hyperlink>
      <w:r>
        <w:rPr>
          <w:color w:val="1154CC"/>
        </w:rPr>
        <w:t xml:space="preserve"> </w:t>
      </w:r>
      <w:hyperlink r:id="rId45">
        <w:r>
          <w:rPr>
            <w:color w:val="1154CC"/>
            <w:spacing w:val="-2"/>
            <w:u w:val="single" w:color="1154CC"/>
          </w:rPr>
          <w:t>(europa.eu)</w:t>
        </w:r>
      </w:hyperlink>
    </w:p>
    <w:p w14:paraId="25338115" w14:textId="77777777" w:rsidR="000E61B1" w:rsidRDefault="000E61B1">
      <w:pPr>
        <w:pStyle w:val="BodyText"/>
        <w:rPr>
          <w:sz w:val="20"/>
        </w:rPr>
      </w:pPr>
    </w:p>
    <w:p w14:paraId="43EBCBD5" w14:textId="77777777" w:rsidR="000E61B1" w:rsidRDefault="000E61B1">
      <w:pPr>
        <w:pStyle w:val="BodyText"/>
        <w:rPr>
          <w:sz w:val="20"/>
        </w:rPr>
      </w:pPr>
    </w:p>
    <w:p w14:paraId="47F795FA" w14:textId="77777777" w:rsidR="000E61B1" w:rsidRDefault="00000000">
      <w:pPr>
        <w:pStyle w:val="BodyText"/>
        <w:spacing w:before="4"/>
        <w:rPr>
          <w:sz w:val="27"/>
        </w:rPr>
      </w:pPr>
      <w:r>
        <w:pict w14:anchorId="01F1C5FB">
          <v:rect id="docshape4" o:spid="_x0000_s2058" style="position:absolute;margin-left:1in;margin-top:16.95pt;width:144.05pt;height:.7pt;z-index:-15727104;mso-wrap-distance-left:0;mso-wrap-distance-right:0;mso-position-horizontal-relative:page" fillcolor="black" stroked="f">
            <w10:wrap type="topAndBottom" anchorx="page"/>
          </v:rect>
        </w:pict>
      </w:r>
    </w:p>
    <w:p w14:paraId="00416B5F" w14:textId="77777777" w:rsidR="000E61B1" w:rsidRDefault="00000000">
      <w:pPr>
        <w:spacing w:before="103"/>
        <w:ind w:left="220"/>
        <w:rPr>
          <w:sz w:val="20"/>
        </w:rPr>
      </w:pPr>
      <w:r>
        <w:rPr>
          <w:rFonts w:ascii="Calibri"/>
          <w:sz w:val="20"/>
          <w:vertAlign w:val="superscript"/>
        </w:rPr>
        <w:t>8</w:t>
      </w:r>
      <w:r>
        <w:rPr>
          <w:rFonts w:ascii="Calibri"/>
          <w:spacing w:val="-2"/>
          <w:sz w:val="20"/>
        </w:rPr>
        <w:t xml:space="preserve"> </w:t>
      </w:r>
      <w:hyperlink r:id="rId46">
        <w:proofErr w:type="spellStart"/>
        <w:r>
          <w:rPr>
            <w:color w:val="1154CC"/>
            <w:sz w:val="20"/>
            <w:u w:val="single" w:color="1154CC"/>
          </w:rPr>
          <w:t>EAfA</w:t>
        </w:r>
        <w:proofErr w:type="spellEnd"/>
        <w:r>
          <w:rPr>
            <w:color w:val="1154CC"/>
            <w:spacing w:val="-6"/>
            <w:sz w:val="20"/>
            <w:u w:val="single" w:color="1154CC"/>
          </w:rPr>
          <w:t xml:space="preserve"> </w:t>
        </w:r>
        <w:r>
          <w:rPr>
            <w:color w:val="1154CC"/>
            <w:sz w:val="20"/>
            <w:u w:val="single" w:color="1154CC"/>
          </w:rPr>
          <w:t>activities</w:t>
        </w:r>
        <w:r>
          <w:rPr>
            <w:color w:val="1154CC"/>
            <w:spacing w:val="-5"/>
            <w:sz w:val="20"/>
            <w:u w:val="single" w:color="1154CC"/>
          </w:rPr>
          <w:t xml:space="preserve"> </w:t>
        </w:r>
        <w:r>
          <w:rPr>
            <w:color w:val="1154CC"/>
            <w:sz w:val="20"/>
            <w:u w:val="single" w:color="1154CC"/>
          </w:rPr>
          <w:t>hub</w:t>
        </w:r>
        <w:r>
          <w:rPr>
            <w:color w:val="1154CC"/>
            <w:spacing w:val="-6"/>
            <w:sz w:val="20"/>
            <w:u w:val="single" w:color="1154CC"/>
          </w:rPr>
          <w:t xml:space="preserve"> </w:t>
        </w:r>
        <w:r>
          <w:rPr>
            <w:color w:val="1154CC"/>
            <w:sz w:val="20"/>
            <w:u w:val="single" w:color="1154CC"/>
          </w:rPr>
          <w:t>-</w:t>
        </w:r>
        <w:r>
          <w:rPr>
            <w:color w:val="1154CC"/>
            <w:spacing w:val="-4"/>
            <w:sz w:val="20"/>
            <w:u w:val="single" w:color="1154CC"/>
          </w:rPr>
          <w:t xml:space="preserve"> </w:t>
        </w:r>
        <w:r>
          <w:rPr>
            <w:color w:val="1154CC"/>
            <w:sz w:val="20"/>
            <w:u w:val="single" w:color="1154CC"/>
          </w:rPr>
          <w:t>Employment,</w:t>
        </w:r>
        <w:r>
          <w:rPr>
            <w:color w:val="1154CC"/>
            <w:spacing w:val="-8"/>
            <w:sz w:val="20"/>
            <w:u w:val="single" w:color="1154CC"/>
          </w:rPr>
          <w:t xml:space="preserve"> </w:t>
        </w:r>
        <w:r>
          <w:rPr>
            <w:color w:val="1154CC"/>
            <w:sz w:val="20"/>
            <w:u w:val="single" w:color="1154CC"/>
          </w:rPr>
          <w:t>Social</w:t>
        </w:r>
        <w:r>
          <w:rPr>
            <w:color w:val="1154CC"/>
            <w:spacing w:val="-7"/>
            <w:sz w:val="20"/>
            <w:u w:val="single" w:color="1154CC"/>
          </w:rPr>
          <w:t xml:space="preserve"> </w:t>
        </w:r>
        <w:r>
          <w:rPr>
            <w:color w:val="1154CC"/>
            <w:sz w:val="20"/>
            <w:u w:val="single" w:color="1154CC"/>
          </w:rPr>
          <w:t>Affairs</w:t>
        </w:r>
        <w:r>
          <w:rPr>
            <w:color w:val="1154CC"/>
            <w:spacing w:val="-5"/>
            <w:sz w:val="20"/>
            <w:u w:val="single" w:color="1154CC"/>
          </w:rPr>
          <w:t xml:space="preserve"> </w:t>
        </w:r>
        <w:r>
          <w:rPr>
            <w:color w:val="1154CC"/>
            <w:sz w:val="20"/>
            <w:u w:val="single" w:color="1154CC"/>
          </w:rPr>
          <w:t>&amp;</w:t>
        </w:r>
        <w:r>
          <w:rPr>
            <w:color w:val="1154CC"/>
            <w:spacing w:val="-9"/>
            <w:sz w:val="20"/>
            <w:u w:val="single" w:color="1154CC"/>
          </w:rPr>
          <w:t xml:space="preserve"> </w:t>
        </w:r>
        <w:r>
          <w:rPr>
            <w:color w:val="1154CC"/>
            <w:sz w:val="20"/>
            <w:u w:val="single" w:color="1154CC"/>
          </w:rPr>
          <w:t>Inclusion</w:t>
        </w:r>
        <w:r>
          <w:rPr>
            <w:color w:val="1154CC"/>
            <w:spacing w:val="-5"/>
            <w:sz w:val="20"/>
            <w:u w:val="single" w:color="1154CC"/>
          </w:rPr>
          <w:t xml:space="preserve"> </w:t>
        </w:r>
        <w:r>
          <w:rPr>
            <w:color w:val="1154CC"/>
            <w:sz w:val="20"/>
            <w:u w:val="single" w:color="1154CC"/>
          </w:rPr>
          <w:t>-</w:t>
        </w:r>
        <w:r>
          <w:rPr>
            <w:color w:val="1154CC"/>
            <w:spacing w:val="-4"/>
            <w:sz w:val="20"/>
            <w:u w:val="single" w:color="1154CC"/>
          </w:rPr>
          <w:t xml:space="preserve"> </w:t>
        </w:r>
        <w:r>
          <w:rPr>
            <w:color w:val="1154CC"/>
            <w:sz w:val="20"/>
            <w:u w:val="single" w:color="1154CC"/>
          </w:rPr>
          <w:t>European</w:t>
        </w:r>
        <w:r>
          <w:rPr>
            <w:color w:val="1154CC"/>
            <w:spacing w:val="-7"/>
            <w:sz w:val="20"/>
            <w:u w:val="single" w:color="1154CC"/>
          </w:rPr>
          <w:t xml:space="preserve"> </w:t>
        </w:r>
        <w:r>
          <w:rPr>
            <w:color w:val="1154CC"/>
            <w:sz w:val="20"/>
            <w:u w:val="single" w:color="1154CC"/>
          </w:rPr>
          <w:t>Commission</w:t>
        </w:r>
        <w:r>
          <w:rPr>
            <w:color w:val="1154CC"/>
            <w:spacing w:val="-6"/>
            <w:sz w:val="20"/>
            <w:u w:val="single" w:color="1154CC"/>
          </w:rPr>
          <w:t xml:space="preserve"> </w:t>
        </w:r>
        <w:r>
          <w:rPr>
            <w:color w:val="1154CC"/>
            <w:spacing w:val="-2"/>
            <w:sz w:val="20"/>
            <w:u w:val="single" w:color="1154CC"/>
          </w:rPr>
          <w:t>(europa.eu)</w:t>
        </w:r>
      </w:hyperlink>
    </w:p>
    <w:p w14:paraId="68C0BCED" w14:textId="77777777" w:rsidR="000E61B1" w:rsidRDefault="000E61B1">
      <w:pPr>
        <w:rPr>
          <w:sz w:val="20"/>
        </w:rPr>
        <w:sectPr w:rsidR="000E61B1">
          <w:pgSz w:w="11910" w:h="16840"/>
          <w:pgMar w:top="1400" w:right="1220" w:bottom="280" w:left="1220" w:header="708" w:footer="0" w:gutter="0"/>
          <w:cols w:space="720"/>
        </w:sectPr>
      </w:pPr>
    </w:p>
    <w:p w14:paraId="451CD0C0" w14:textId="77777777" w:rsidR="000E61B1" w:rsidRDefault="000E61B1">
      <w:pPr>
        <w:pStyle w:val="BodyText"/>
        <w:rPr>
          <w:sz w:val="20"/>
        </w:rPr>
      </w:pPr>
    </w:p>
    <w:p w14:paraId="7D813940" w14:textId="77777777" w:rsidR="000E61B1" w:rsidRDefault="000E61B1">
      <w:pPr>
        <w:pStyle w:val="BodyText"/>
        <w:spacing w:before="2"/>
        <w:rPr>
          <w:sz w:val="20"/>
        </w:rPr>
      </w:pPr>
    </w:p>
    <w:p w14:paraId="617E54D8" w14:textId="77777777" w:rsidR="000E61B1" w:rsidRDefault="00000000">
      <w:pPr>
        <w:pStyle w:val="BodyText"/>
        <w:spacing w:line="259" w:lineRule="auto"/>
        <w:ind w:left="220" w:right="210"/>
        <w:jc w:val="both"/>
      </w:pPr>
      <w:r>
        <w:t>As</w:t>
      </w:r>
      <w:r>
        <w:rPr>
          <w:spacing w:val="-2"/>
        </w:rPr>
        <w:t xml:space="preserve"> </w:t>
      </w:r>
      <w:r>
        <w:t>reported</w:t>
      </w:r>
      <w:r>
        <w:rPr>
          <w:spacing w:val="-1"/>
        </w:rPr>
        <w:t xml:space="preserve"> </w:t>
      </w:r>
      <w:r>
        <w:t>in</w:t>
      </w:r>
      <w:r>
        <w:rPr>
          <w:spacing w:val="-5"/>
        </w:rPr>
        <w:t xml:space="preserve"> </w:t>
      </w:r>
      <w:r>
        <w:t>the</w:t>
      </w:r>
      <w:r>
        <w:rPr>
          <w:spacing w:val="-5"/>
        </w:rPr>
        <w:t xml:space="preserve"> </w:t>
      </w:r>
      <w:r>
        <w:t>original</w:t>
      </w:r>
      <w:r>
        <w:rPr>
          <w:spacing w:val="-3"/>
        </w:rPr>
        <w:t xml:space="preserve"> </w:t>
      </w:r>
      <w:r>
        <w:t>research,</w:t>
      </w:r>
      <w:r>
        <w:rPr>
          <w:spacing w:val="-6"/>
        </w:rPr>
        <w:t xml:space="preserve"> </w:t>
      </w:r>
      <w:r>
        <w:t xml:space="preserve">the </w:t>
      </w:r>
      <w:r>
        <w:rPr>
          <w:b/>
        </w:rPr>
        <w:t>impact</w:t>
      </w:r>
      <w:r>
        <w:rPr>
          <w:b/>
          <w:spacing w:val="-4"/>
        </w:rPr>
        <w:t xml:space="preserve"> </w:t>
      </w:r>
      <w:r>
        <w:rPr>
          <w:b/>
        </w:rPr>
        <w:t>of</w:t>
      </w:r>
      <w:r>
        <w:rPr>
          <w:b/>
          <w:spacing w:val="-9"/>
        </w:rPr>
        <w:t xml:space="preserve"> </w:t>
      </w:r>
      <w:r>
        <w:rPr>
          <w:b/>
        </w:rPr>
        <w:t>automation</w:t>
      </w:r>
      <w:r>
        <w:rPr>
          <w:b/>
          <w:spacing w:val="-6"/>
        </w:rPr>
        <w:t xml:space="preserve"> </w:t>
      </w:r>
      <w:r>
        <w:t>on</w:t>
      </w:r>
      <w:r>
        <w:rPr>
          <w:spacing w:val="-5"/>
        </w:rPr>
        <w:t xml:space="preserve"> </w:t>
      </w:r>
      <w:r>
        <w:t>the</w:t>
      </w:r>
      <w:r>
        <w:rPr>
          <w:spacing w:val="-5"/>
        </w:rPr>
        <w:t xml:space="preserve"> </w:t>
      </w:r>
      <w:r>
        <w:t>future</w:t>
      </w:r>
      <w:r>
        <w:rPr>
          <w:spacing w:val="-5"/>
        </w:rPr>
        <w:t xml:space="preserve"> </w:t>
      </w:r>
      <w:proofErr w:type="spellStart"/>
      <w:r>
        <w:t>labour</w:t>
      </w:r>
      <w:proofErr w:type="spellEnd"/>
      <w:r>
        <w:rPr>
          <w:spacing w:val="-9"/>
        </w:rPr>
        <w:t xml:space="preserve"> </w:t>
      </w:r>
      <w:r>
        <w:t>market</w:t>
      </w:r>
      <w:r>
        <w:rPr>
          <w:spacing w:val="-6"/>
        </w:rPr>
        <w:t xml:space="preserve"> </w:t>
      </w:r>
      <w:r>
        <w:t>is a</w:t>
      </w:r>
      <w:r>
        <w:rPr>
          <w:spacing w:val="-4"/>
        </w:rPr>
        <w:t xml:space="preserve"> </w:t>
      </w:r>
      <w:r>
        <w:t>source</w:t>
      </w:r>
      <w:r>
        <w:rPr>
          <w:spacing w:val="-9"/>
        </w:rPr>
        <w:t xml:space="preserve"> </w:t>
      </w:r>
      <w:r>
        <w:t>of</w:t>
      </w:r>
      <w:r>
        <w:rPr>
          <w:spacing w:val="-10"/>
        </w:rPr>
        <w:t xml:space="preserve"> </w:t>
      </w:r>
      <w:r>
        <w:t>debate,</w:t>
      </w:r>
      <w:r>
        <w:rPr>
          <w:spacing w:val="-5"/>
        </w:rPr>
        <w:t xml:space="preserve"> </w:t>
      </w:r>
      <w:r>
        <w:t>with</w:t>
      </w:r>
      <w:r>
        <w:rPr>
          <w:spacing w:val="-9"/>
        </w:rPr>
        <w:t xml:space="preserve"> </w:t>
      </w:r>
      <w:r>
        <w:t>differing</w:t>
      </w:r>
      <w:r>
        <w:rPr>
          <w:spacing w:val="-9"/>
        </w:rPr>
        <w:t xml:space="preserve"> </w:t>
      </w:r>
      <w:r>
        <w:t>opinions</w:t>
      </w:r>
      <w:r>
        <w:rPr>
          <w:spacing w:val="-11"/>
        </w:rPr>
        <w:t xml:space="preserve"> </w:t>
      </w:r>
      <w:r>
        <w:t>on</w:t>
      </w:r>
      <w:r>
        <w:rPr>
          <w:spacing w:val="-4"/>
        </w:rPr>
        <w:t xml:space="preserve"> </w:t>
      </w:r>
      <w:r>
        <w:t>the</w:t>
      </w:r>
      <w:r>
        <w:rPr>
          <w:spacing w:val="-9"/>
        </w:rPr>
        <w:t xml:space="preserve"> </w:t>
      </w:r>
      <w:r>
        <w:t>extent</w:t>
      </w:r>
      <w:r>
        <w:rPr>
          <w:spacing w:val="-5"/>
        </w:rPr>
        <w:t xml:space="preserve"> </w:t>
      </w:r>
      <w:r>
        <w:t>to</w:t>
      </w:r>
      <w:r>
        <w:rPr>
          <w:spacing w:val="-4"/>
        </w:rPr>
        <w:t xml:space="preserve"> </w:t>
      </w:r>
      <w:r>
        <w:t>which</w:t>
      </w:r>
      <w:r>
        <w:rPr>
          <w:spacing w:val="-4"/>
        </w:rPr>
        <w:t xml:space="preserve"> </w:t>
      </w:r>
      <w:r>
        <w:t>technology</w:t>
      </w:r>
      <w:r>
        <w:rPr>
          <w:spacing w:val="-11"/>
        </w:rPr>
        <w:t xml:space="preserve"> </w:t>
      </w:r>
      <w:r>
        <w:t>will</w:t>
      </w:r>
      <w:r>
        <w:rPr>
          <w:spacing w:val="-7"/>
        </w:rPr>
        <w:t xml:space="preserve"> </w:t>
      </w:r>
      <w:r>
        <w:t>replace</w:t>
      </w:r>
      <w:r>
        <w:rPr>
          <w:spacing w:val="-9"/>
        </w:rPr>
        <w:t xml:space="preserve"> </w:t>
      </w:r>
      <w:r>
        <w:t xml:space="preserve">more traditional forms of </w:t>
      </w:r>
      <w:proofErr w:type="spellStart"/>
      <w:r>
        <w:t>labour</w:t>
      </w:r>
      <w:proofErr w:type="spellEnd"/>
      <w:r>
        <w:t xml:space="preserve">. There is a clear consensus however that </w:t>
      </w:r>
      <w:r>
        <w:rPr>
          <w:color w:val="333333"/>
        </w:rPr>
        <w:t>low-skilled jobs are at high</w:t>
      </w:r>
      <w:r>
        <w:rPr>
          <w:color w:val="333333"/>
          <w:spacing w:val="-4"/>
        </w:rPr>
        <w:t xml:space="preserve"> </w:t>
      </w:r>
      <w:r>
        <w:rPr>
          <w:color w:val="333333"/>
        </w:rPr>
        <w:t>risk</w:t>
      </w:r>
      <w:r>
        <w:rPr>
          <w:color w:val="333333"/>
          <w:spacing w:val="-6"/>
        </w:rPr>
        <w:t xml:space="preserve"> </w:t>
      </w:r>
      <w:r>
        <w:rPr>
          <w:color w:val="333333"/>
        </w:rPr>
        <w:t>of</w:t>
      </w:r>
      <w:r>
        <w:rPr>
          <w:color w:val="333333"/>
          <w:spacing w:val="-10"/>
        </w:rPr>
        <w:t xml:space="preserve"> </w:t>
      </w:r>
      <w:r>
        <w:rPr>
          <w:color w:val="333333"/>
        </w:rPr>
        <w:t>being</w:t>
      </w:r>
      <w:r>
        <w:rPr>
          <w:color w:val="333333"/>
          <w:spacing w:val="-4"/>
        </w:rPr>
        <w:t xml:space="preserve"> </w:t>
      </w:r>
      <w:r>
        <w:rPr>
          <w:color w:val="333333"/>
        </w:rPr>
        <w:t>automated,</w:t>
      </w:r>
      <w:r>
        <w:rPr>
          <w:color w:val="333333"/>
          <w:spacing w:val="-5"/>
        </w:rPr>
        <w:t xml:space="preserve"> </w:t>
      </w:r>
      <w:r>
        <w:rPr>
          <w:color w:val="333333"/>
        </w:rPr>
        <w:t>with</w:t>
      </w:r>
      <w:r>
        <w:rPr>
          <w:color w:val="333333"/>
          <w:spacing w:val="-4"/>
        </w:rPr>
        <w:t xml:space="preserve"> </w:t>
      </w:r>
      <w:r>
        <w:rPr>
          <w:color w:val="333333"/>
        </w:rPr>
        <w:t>many</w:t>
      </w:r>
      <w:r>
        <w:rPr>
          <w:color w:val="333333"/>
          <w:spacing w:val="-6"/>
        </w:rPr>
        <w:t xml:space="preserve"> </w:t>
      </w:r>
      <w:r>
        <w:rPr>
          <w:color w:val="333333"/>
        </w:rPr>
        <w:t>of</w:t>
      </w:r>
      <w:r>
        <w:rPr>
          <w:color w:val="333333"/>
          <w:spacing w:val="-5"/>
        </w:rPr>
        <w:t xml:space="preserve"> </w:t>
      </w:r>
      <w:r>
        <w:rPr>
          <w:color w:val="333333"/>
        </w:rPr>
        <w:t>these</w:t>
      </w:r>
      <w:r>
        <w:rPr>
          <w:color w:val="333333"/>
          <w:spacing w:val="-4"/>
        </w:rPr>
        <w:t xml:space="preserve"> </w:t>
      </w:r>
      <w:r>
        <w:rPr>
          <w:color w:val="333333"/>
        </w:rPr>
        <w:t>jobs</w:t>
      </w:r>
      <w:r>
        <w:rPr>
          <w:color w:val="333333"/>
          <w:spacing w:val="-6"/>
        </w:rPr>
        <w:t xml:space="preserve"> </w:t>
      </w:r>
      <w:r>
        <w:rPr>
          <w:color w:val="333333"/>
        </w:rPr>
        <w:t>being</w:t>
      </w:r>
      <w:r>
        <w:rPr>
          <w:color w:val="333333"/>
          <w:spacing w:val="-4"/>
        </w:rPr>
        <w:t xml:space="preserve"> </w:t>
      </w:r>
      <w:r>
        <w:rPr>
          <w:color w:val="333333"/>
        </w:rPr>
        <w:t>occupied</w:t>
      </w:r>
      <w:r>
        <w:rPr>
          <w:color w:val="333333"/>
          <w:spacing w:val="-4"/>
        </w:rPr>
        <w:t xml:space="preserve"> </w:t>
      </w:r>
      <w:r>
        <w:rPr>
          <w:color w:val="333333"/>
        </w:rPr>
        <w:t>by adults.</w:t>
      </w:r>
      <w:r>
        <w:rPr>
          <w:color w:val="333333"/>
          <w:spacing w:val="-5"/>
        </w:rPr>
        <w:t xml:space="preserve"> </w:t>
      </w:r>
      <w:r>
        <w:rPr>
          <w:color w:val="333333"/>
        </w:rPr>
        <w:t>The</w:t>
      </w:r>
      <w:r>
        <w:rPr>
          <w:color w:val="333333"/>
          <w:spacing w:val="-4"/>
        </w:rPr>
        <w:t xml:space="preserve"> </w:t>
      </w:r>
      <w:r>
        <w:rPr>
          <w:color w:val="333333"/>
        </w:rPr>
        <w:t>potential benefits</w:t>
      </w:r>
      <w:r>
        <w:rPr>
          <w:color w:val="333333"/>
          <w:spacing w:val="-11"/>
        </w:rPr>
        <w:t xml:space="preserve"> </w:t>
      </w:r>
      <w:r>
        <w:rPr>
          <w:color w:val="333333"/>
        </w:rPr>
        <w:t>of</w:t>
      </w:r>
      <w:r>
        <w:rPr>
          <w:color w:val="333333"/>
          <w:spacing w:val="-10"/>
        </w:rPr>
        <w:t xml:space="preserve"> </w:t>
      </w:r>
      <w:r>
        <w:rPr>
          <w:color w:val="333333"/>
        </w:rPr>
        <w:t>adult</w:t>
      </w:r>
      <w:r>
        <w:rPr>
          <w:color w:val="333333"/>
          <w:spacing w:val="-5"/>
        </w:rPr>
        <w:t xml:space="preserve"> </w:t>
      </w:r>
      <w:r>
        <w:rPr>
          <w:color w:val="333333"/>
        </w:rPr>
        <w:t>training</w:t>
      </w:r>
      <w:r>
        <w:rPr>
          <w:color w:val="333333"/>
          <w:spacing w:val="-4"/>
        </w:rPr>
        <w:t xml:space="preserve"> </w:t>
      </w:r>
      <w:r>
        <w:rPr>
          <w:color w:val="333333"/>
        </w:rPr>
        <w:t>are</w:t>
      </w:r>
      <w:r>
        <w:rPr>
          <w:color w:val="333333"/>
          <w:spacing w:val="-4"/>
        </w:rPr>
        <w:t xml:space="preserve"> </w:t>
      </w:r>
      <w:r>
        <w:rPr>
          <w:color w:val="333333"/>
        </w:rPr>
        <w:t>numerous</w:t>
      </w:r>
      <w:r>
        <w:rPr>
          <w:color w:val="333333"/>
          <w:spacing w:val="-6"/>
        </w:rPr>
        <w:t xml:space="preserve"> </w:t>
      </w:r>
      <w:r>
        <w:rPr>
          <w:color w:val="333333"/>
        </w:rPr>
        <w:t>and</w:t>
      </w:r>
      <w:r>
        <w:rPr>
          <w:color w:val="333333"/>
          <w:spacing w:val="-4"/>
        </w:rPr>
        <w:t xml:space="preserve"> </w:t>
      </w:r>
      <w:r>
        <w:rPr>
          <w:color w:val="333333"/>
        </w:rPr>
        <w:t>include</w:t>
      </w:r>
      <w:r>
        <w:rPr>
          <w:color w:val="333333"/>
          <w:spacing w:val="-4"/>
        </w:rPr>
        <w:t xml:space="preserve"> </w:t>
      </w:r>
      <w:r>
        <w:rPr>
          <w:color w:val="333333"/>
        </w:rPr>
        <w:t>greater</w:t>
      </w:r>
      <w:r>
        <w:rPr>
          <w:color w:val="333333"/>
          <w:spacing w:val="-8"/>
        </w:rPr>
        <w:t xml:space="preserve"> </w:t>
      </w:r>
      <w:r>
        <w:rPr>
          <w:color w:val="333333"/>
        </w:rPr>
        <w:t>employability</w:t>
      </w:r>
      <w:r>
        <w:rPr>
          <w:color w:val="333333"/>
          <w:spacing w:val="-6"/>
        </w:rPr>
        <w:t xml:space="preserve"> </w:t>
      </w:r>
      <w:r>
        <w:rPr>
          <w:color w:val="333333"/>
        </w:rPr>
        <w:t>and</w:t>
      </w:r>
      <w:r>
        <w:rPr>
          <w:color w:val="333333"/>
          <w:spacing w:val="-9"/>
        </w:rPr>
        <w:t xml:space="preserve"> </w:t>
      </w:r>
      <w:r>
        <w:rPr>
          <w:color w:val="333333"/>
        </w:rPr>
        <w:t>access</w:t>
      </w:r>
      <w:r>
        <w:rPr>
          <w:color w:val="333333"/>
          <w:spacing w:val="-6"/>
        </w:rPr>
        <w:t xml:space="preserve"> </w:t>
      </w:r>
      <w:r>
        <w:rPr>
          <w:color w:val="333333"/>
        </w:rPr>
        <w:t>to</w:t>
      </w:r>
      <w:r>
        <w:rPr>
          <w:color w:val="333333"/>
          <w:spacing w:val="-9"/>
        </w:rPr>
        <w:t xml:space="preserve"> </w:t>
      </w:r>
      <w:r>
        <w:rPr>
          <w:color w:val="333333"/>
        </w:rPr>
        <w:t>better quality jobs, increased productivity, improved civic participation, and – most importantly – a greater sense of individual fulfilment and well-being.</w:t>
      </w:r>
    </w:p>
    <w:p w14:paraId="4689C167" w14:textId="77777777" w:rsidR="000E61B1" w:rsidRDefault="00000000">
      <w:pPr>
        <w:pStyle w:val="BodyText"/>
        <w:spacing w:before="162" w:line="259" w:lineRule="auto"/>
        <w:ind w:left="220" w:right="214"/>
        <w:jc w:val="both"/>
      </w:pPr>
      <w:r>
        <w:rPr>
          <w:color w:val="333333"/>
        </w:rPr>
        <w:t>In</w:t>
      </w:r>
      <w:r>
        <w:rPr>
          <w:color w:val="333333"/>
          <w:spacing w:val="-16"/>
        </w:rPr>
        <w:t xml:space="preserve"> </w:t>
      </w:r>
      <w:r>
        <w:rPr>
          <w:color w:val="333333"/>
        </w:rPr>
        <w:t>all</w:t>
      </w:r>
      <w:r>
        <w:rPr>
          <w:color w:val="333333"/>
          <w:spacing w:val="-15"/>
        </w:rPr>
        <w:t xml:space="preserve"> </w:t>
      </w:r>
      <w:r>
        <w:rPr>
          <w:color w:val="333333"/>
        </w:rPr>
        <w:t>OECD</w:t>
      </w:r>
      <w:r>
        <w:rPr>
          <w:color w:val="333333"/>
          <w:spacing w:val="-15"/>
        </w:rPr>
        <w:t xml:space="preserve"> </w:t>
      </w:r>
      <w:r>
        <w:rPr>
          <w:color w:val="333333"/>
        </w:rPr>
        <w:t>countries,</w:t>
      </w:r>
      <w:r>
        <w:rPr>
          <w:color w:val="333333"/>
          <w:spacing w:val="-16"/>
        </w:rPr>
        <w:t xml:space="preserve"> </w:t>
      </w:r>
      <w:r>
        <w:rPr>
          <w:color w:val="333333"/>
        </w:rPr>
        <w:t>non-formal</w:t>
      </w:r>
      <w:r>
        <w:rPr>
          <w:color w:val="333333"/>
          <w:spacing w:val="-15"/>
        </w:rPr>
        <w:t xml:space="preserve"> </w:t>
      </w:r>
      <w:r>
        <w:rPr>
          <w:color w:val="333333"/>
        </w:rPr>
        <w:t>training</w:t>
      </w:r>
      <w:r>
        <w:rPr>
          <w:color w:val="333333"/>
          <w:spacing w:val="-15"/>
        </w:rPr>
        <w:t xml:space="preserve"> </w:t>
      </w:r>
      <w:r>
        <w:rPr>
          <w:color w:val="333333"/>
        </w:rPr>
        <w:t>plays</w:t>
      </w:r>
      <w:r>
        <w:rPr>
          <w:color w:val="333333"/>
          <w:spacing w:val="-15"/>
        </w:rPr>
        <w:t xml:space="preserve"> </w:t>
      </w:r>
      <w:r>
        <w:rPr>
          <w:color w:val="333333"/>
        </w:rPr>
        <w:t>a</w:t>
      </w:r>
      <w:r>
        <w:rPr>
          <w:color w:val="333333"/>
          <w:spacing w:val="-16"/>
        </w:rPr>
        <w:t xml:space="preserve"> </w:t>
      </w:r>
      <w:r>
        <w:rPr>
          <w:color w:val="333333"/>
        </w:rPr>
        <w:t>leading</w:t>
      </w:r>
      <w:r>
        <w:rPr>
          <w:color w:val="333333"/>
          <w:spacing w:val="-15"/>
        </w:rPr>
        <w:t xml:space="preserve"> </w:t>
      </w:r>
      <w:r>
        <w:rPr>
          <w:color w:val="333333"/>
        </w:rPr>
        <w:t>role</w:t>
      </w:r>
      <w:r>
        <w:rPr>
          <w:color w:val="333333"/>
          <w:spacing w:val="-15"/>
        </w:rPr>
        <w:t xml:space="preserve"> </w:t>
      </w:r>
      <w:r>
        <w:rPr>
          <w:color w:val="333333"/>
        </w:rPr>
        <w:t>for</w:t>
      </w:r>
      <w:r>
        <w:rPr>
          <w:color w:val="333333"/>
          <w:spacing w:val="-16"/>
        </w:rPr>
        <w:t xml:space="preserve"> </w:t>
      </w:r>
      <w:r>
        <w:rPr>
          <w:color w:val="333333"/>
        </w:rPr>
        <w:t>upskilling</w:t>
      </w:r>
      <w:r>
        <w:rPr>
          <w:color w:val="333333"/>
          <w:spacing w:val="-15"/>
        </w:rPr>
        <w:t xml:space="preserve"> </w:t>
      </w:r>
      <w:r>
        <w:rPr>
          <w:color w:val="333333"/>
        </w:rPr>
        <w:t>adults,</w:t>
      </w:r>
      <w:r>
        <w:rPr>
          <w:color w:val="333333"/>
          <w:spacing w:val="-15"/>
        </w:rPr>
        <w:t xml:space="preserve"> </w:t>
      </w:r>
      <w:proofErr w:type="gramStart"/>
      <w:r>
        <w:rPr>
          <w:color w:val="333333"/>
        </w:rPr>
        <w:t>in</w:t>
      </w:r>
      <w:r>
        <w:rPr>
          <w:color w:val="333333"/>
          <w:spacing w:val="-15"/>
        </w:rPr>
        <w:t xml:space="preserve"> </w:t>
      </w:r>
      <w:r>
        <w:rPr>
          <w:color w:val="333333"/>
        </w:rPr>
        <w:t>particular those</w:t>
      </w:r>
      <w:proofErr w:type="gramEnd"/>
      <w:r>
        <w:rPr>
          <w:color w:val="333333"/>
        </w:rPr>
        <w:t xml:space="preserve"> with low levels</w:t>
      </w:r>
      <w:r>
        <w:rPr>
          <w:color w:val="333333"/>
          <w:spacing w:val="-1"/>
        </w:rPr>
        <w:t xml:space="preserve"> </w:t>
      </w:r>
      <w:r>
        <w:rPr>
          <w:color w:val="333333"/>
        </w:rPr>
        <w:t>of skills, who are usually reluctant to enter</w:t>
      </w:r>
      <w:r>
        <w:rPr>
          <w:color w:val="333333"/>
          <w:spacing w:val="-3"/>
        </w:rPr>
        <w:t xml:space="preserve"> </w:t>
      </w:r>
      <w:r>
        <w:rPr>
          <w:color w:val="333333"/>
        </w:rPr>
        <w:t>a formal</w:t>
      </w:r>
      <w:r>
        <w:rPr>
          <w:color w:val="333333"/>
          <w:spacing w:val="-2"/>
        </w:rPr>
        <w:t xml:space="preserve"> </w:t>
      </w:r>
      <w:r>
        <w:rPr>
          <w:color w:val="333333"/>
        </w:rPr>
        <w:t>education pathway. In any given year, about 40% of adults participate in at least one non-formal training activity, compared with just 8% engaging in formal training.</w:t>
      </w:r>
    </w:p>
    <w:p w14:paraId="2DCD6B94" w14:textId="77777777" w:rsidR="000E61B1" w:rsidRDefault="00000000">
      <w:pPr>
        <w:pStyle w:val="BodyText"/>
        <w:spacing w:before="160" w:line="259" w:lineRule="auto"/>
        <w:ind w:left="220" w:right="208"/>
        <w:jc w:val="both"/>
      </w:pPr>
      <w:r>
        <w:t>In this report</w:t>
      </w:r>
      <w:r>
        <w:rPr>
          <w:vertAlign w:val="superscript"/>
        </w:rPr>
        <w:t>9</w:t>
      </w:r>
      <w:r>
        <w:t xml:space="preserve">, the authors </w:t>
      </w:r>
      <w:r>
        <w:rPr>
          <w:color w:val="333333"/>
        </w:rPr>
        <w:t>address the crucial</w:t>
      </w:r>
      <w:r>
        <w:rPr>
          <w:color w:val="333333"/>
          <w:spacing w:val="-1"/>
        </w:rPr>
        <w:t xml:space="preserve"> </w:t>
      </w:r>
      <w:r>
        <w:rPr>
          <w:color w:val="333333"/>
        </w:rPr>
        <w:t xml:space="preserve">question of </w:t>
      </w:r>
      <w:r>
        <w:rPr>
          <w:b/>
          <w:color w:val="333333"/>
        </w:rPr>
        <w:t>how quality can be enhanced in the field of adult learning</w:t>
      </w:r>
      <w:r>
        <w:rPr>
          <w:color w:val="333333"/>
        </w:rPr>
        <w:t>. It provides an overview of quality assurance systems across Europe, highlighting their implementation features, governance structures and success factors.</w:t>
      </w:r>
      <w:r>
        <w:rPr>
          <w:color w:val="333333"/>
          <w:spacing w:val="-16"/>
        </w:rPr>
        <w:t xml:space="preserve"> </w:t>
      </w:r>
      <w:r>
        <w:rPr>
          <w:color w:val="333333"/>
        </w:rPr>
        <w:t>In</w:t>
      </w:r>
      <w:r>
        <w:rPr>
          <w:color w:val="333333"/>
          <w:spacing w:val="-15"/>
        </w:rPr>
        <w:t xml:space="preserve"> </w:t>
      </w:r>
      <w:r>
        <w:rPr>
          <w:color w:val="333333"/>
        </w:rPr>
        <w:t>particular,</w:t>
      </w:r>
      <w:r>
        <w:rPr>
          <w:color w:val="333333"/>
          <w:spacing w:val="-15"/>
        </w:rPr>
        <w:t xml:space="preserve"> </w:t>
      </w:r>
      <w:r>
        <w:rPr>
          <w:color w:val="333333"/>
        </w:rPr>
        <w:t>the</w:t>
      </w:r>
      <w:r>
        <w:rPr>
          <w:color w:val="333333"/>
          <w:spacing w:val="-12"/>
        </w:rPr>
        <w:t xml:space="preserve"> </w:t>
      </w:r>
      <w:r>
        <w:rPr>
          <w:color w:val="333333"/>
        </w:rPr>
        <w:t>study</w:t>
      </w:r>
      <w:r>
        <w:rPr>
          <w:color w:val="333333"/>
          <w:spacing w:val="-15"/>
        </w:rPr>
        <w:t xml:space="preserve"> </w:t>
      </w:r>
      <w:r>
        <w:rPr>
          <w:color w:val="333333"/>
        </w:rPr>
        <w:t>focuses</w:t>
      </w:r>
      <w:r>
        <w:rPr>
          <w:color w:val="333333"/>
          <w:spacing w:val="-15"/>
        </w:rPr>
        <w:t xml:space="preserve"> </w:t>
      </w:r>
      <w:r>
        <w:rPr>
          <w:color w:val="333333"/>
        </w:rPr>
        <w:t>on</w:t>
      </w:r>
      <w:r>
        <w:rPr>
          <w:color w:val="333333"/>
          <w:spacing w:val="-13"/>
        </w:rPr>
        <w:t xml:space="preserve"> </w:t>
      </w:r>
      <w:r>
        <w:rPr>
          <w:color w:val="333333"/>
        </w:rPr>
        <w:t>non-formal</w:t>
      </w:r>
      <w:r>
        <w:rPr>
          <w:color w:val="333333"/>
          <w:spacing w:val="-16"/>
        </w:rPr>
        <w:t xml:space="preserve"> </w:t>
      </w:r>
      <w:r>
        <w:rPr>
          <w:color w:val="333333"/>
        </w:rPr>
        <w:t>adult</w:t>
      </w:r>
      <w:r>
        <w:rPr>
          <w:color w:val="333333"/>
          <w:spacing w:val="-13"/>
        </w:rPr>
        <w:t xml:space="preserve"> </w:t>
      </w:r>
      <w:r>
        <w:rPr>
          <w:color w:val="333333"/>
        </w:rPr>
        <w:t>learning,</w:t>
      </w:r>
      <w:r>
        <w:rPr>
          <w:color w:val="333333"/>
          <w:spacing w:val="-14"/>
        </w:rPr>
        <w:t xml:space="preserve"> </w:t>
      </w:r>
      <w:r>
        <w:rPr>
          <w:color w:val="333333"/>
        </w:rPr>
        <w:t>which</w:t>
      </w:r>
      <w:r>
        <w:rPr>
          <w:color w:val="333333"/>
          <w:spacing w:val="-13"/>
        </w:rPr>
        <w:t xml:space="preserve"> </w:t>
      </w:r>
      <w:r>
        <w:rPr>
          <w:color w:val="333333"/>
        </w:rPr>
        <w:t>is</w:t>
      </w:r>
      <w:r>
        <w:rPr>
          <w:color w:val="333333"/>
          <w:spacing w:val="-15"/>
        </w:rPr>
        <w:t xml:space="preserve"> </w:t>
      </w:r>
      <w:r>
        <w:rPr>
          <w:color w:val="333333"/>
        </w:rPr>
        <w:t>“</w:t>
      </w:r>
      <w:proofErr w:type="spellStart"/>
      <w:r>
        <w:rPr>
          <w:color w:val="333333"/>
        </w:rPr>
        <w:t>institutionalised</w:t>
      </w:r>
      <w:proofErr w:type="spellEnd"/>
      <w:r>
        <w:rPr>
          <w:color w:val="333333"/>
        </w:rPr>
        <w:t>, intentional and planned by an education provider”</w:t>
      </w:r>
      <w:r>
        <w:rPr>
          <w:color w:val="333333"/>
          <w:spacing w:val="-1"/>
        </w:rPr>
        <w:t xml:space="preserve"> </w:t>
      </w:r>
      <w:r>
        <w:rPr>
          <w:color w:val="333333"/>
        </w:rPr>
        <w:t>outside of the formal education sector</w:t>
      </w:r>
      <w:r>
        <w:rPr>
          <w:color w:val="333333"/>
          <w:spacing w:val="-1"/>
        </w:rPr>
        <w:t xml:space="preserve"> </w:t>
      </w:r>
      <w:r>
        <w:rPr>
          <w:color w:val="333333"/>
        </w:rPr>
        <w:t>and which</w:t>
      </w:r>
      <w:r>
        <w:rPr>
          <w:color w:val="333333"/>
          <w:spacing w:val="-2"/>
        </w:rPr>
        <w:t xml:space="preserve"> </w:t>
      </w:r>
      <w:r>
        <w:rPr>
          <w:color w:val="333333"/>
        </w:rPr>
        <w:t>does</w:t>
      </w:r>
      <w:r>
        <w:rPr>
          <w:color w:val="333333"/>
          <w:spacing w:val="-9"/>
        </w:rPr>
        <w:t xml:space="preserve"> </w:t>
      </w:r>
      <w:r>
        <w:rPr>
          <w:color w:val="333333"/>
        </w:rPr>
        <w:t>not</w:t>
      </w:r>
      <w:r>
        <w:rPr>
          <w:color w:val="333333"/>
          <w:spacing w:val="-3"/>
        </w:rPr>
        <w:t xml:space="preserve"> </w:t>
      </w:r>
      <w:r>
        <w:rPr>
          <w:color w:val="333333"/>
        </w:rPr>
        <w:t>lead</w:t>
      </w:r>
      <w:r>
        <w:rPr>
          <w:color w:val="333333"/>
          <w:spacing w:val="-2"/>
        </w:rPr>
        <w:t xml:space="preserve"> </w:t>
      </w:r>
      <w:r>
        <w:rPr>
          <w:color w:val="333333"/>
        </w:rPr>
        <w:t>to</w:t>
      </w:r>
      <w:r>
        <w:rPr>
          <w:color w:val="333333"/>
          <w:spacing w:val="-2"/>
        </w:rPr>
        <w:t xml:space="preserve"> </w:t>
      </w:r>
      <w:r>
        <w:rPr>
          <w:color w:val="333333"/>
        </w:rPr>
        <w:t>a</w:t>
      </w:r>
      <w:r>
        <w:rPr>
          <w:color w:val="333333"/>
          <w:spacing w:val="-2"/>
        </w:rPr>
        <w:t xml:space="preserve"> </w:t>
      </w:r>
      <w:r>
        <w:rPr>
          <w:color w:val="333333"/>
        </w:rPr>
        <w:t>formal</w:t>
      </w:r>
      <w:r>
        <w:rPr>
          <w:color w:val="333333"/>
          <w:spacing w:val="-5"/>
        </w:rPr>
        <w:t xml:space="preserve"> </w:t>
      </w:r>
      <w:r>
        <w:rPr>
          <w:color w:val="333333"/>
        </w:rPr>
        <w:t>qualification</w:t>
      </w:r>
      <w:r>
        <w:rPr>
          <w:color w:val="333333"/>
          <w:spacing w:val="-7"/>
        </w:rPr>
        <w:t xml:space="preserve"> </w:t>
      </w:r>
      <w:r>
        <w:rPr>
          <w:color w:val="333333"/>
        </w:rPr>
        <w:t>that</w:t>
      </w:r>
      <w:r>
        <w:rPr>
          <w:color w:val="333333"/>
          <w:spacing w:val="-3"/>
        </w:rPr>
        <w:t xml:space="preserve"> </w:t>
      </w:r>
      <w:r>
        <w:rPr>
          <w:color w:val="333333"/>
        </w:rPr>
        <w:t>is</w:t>
      </w:r>
      <w:r>
        <w:rPr>
          <w:color w:val="333333"/>
          <w:spacing w:val="-4"/>
        </w:rPr>
        <w:t xml:space="preserve"> </w:t>
      </w:r>
      <w:proofErr w:type="spellStart"/>
      <w:r>
        <w:rPr>
          <w:color w:val="333333"/>
        </w:rPr>
        <w:t>recognised</w:t>
      </w:r>
      <w:proofErr w:type="spellEnd"/>
      <w:r>
        <w:rPr>
          <w:color w:val="333333"/>
          <w:spacing w:val="-2"/>
        </w:rPr>
        <w:t xml:space="preserve"> </w:t>
      </w:r>
      <w:r>
        <w:rPr>
          <w:color w:val="333333"/>
        </w:rPr>
        <w:t>by</w:t>
      </w:r>
      <w:r>
        <w:rPr>
          <w:color w:val="333333"/>
          <w:spacing w:val="-4"/>
        </w:rPr>
        <w:t xml:space="preserve"> </w:t>
      </w:r>
      <w:r>
        <w:rPr>
          <w:color w:val="333333"/>
        </w:rPr>
        <w:t>the</w:t>
      </w:r>
      <w:r>
        <w:rPr>
          <w:color w:val="333333"/>
          <w:spacing w:val="-2"/>
        </w:rPr>
        <w:t xml:space="preserve"> </w:t>
      </w:r>
      <w:r>
        <w:rPr>
          <w:color w:val="333333"/>
        </w:rPr>
        <w:t>national</w:t>
      </w:r>
      <w:r>
        <w:rPr>
          <w:color w:val="333333"/>
          <w:spacing w:val="-10"/>
        </w:rPr>
        <w:t xml:space="preserve"> </w:t>
      </w:r>
      <w:r>
        <w:rPr>
          <w:color w:val="333333"/>
        </w:rPr>
        <w:t>or</w:t>
      </w:r>
      <w:r>
        <w:rPr>
          <w:color w:val="333333"/>
          <w:spacing w:val="-6"/>
        </w:rPr>
        <w:t xml:space="preserve"> </w:t>
      </w:r>
      <w:r>
        <w:rPr>
          <w:color w:val="333333"/>
        </w:rPr>
        <w:t>sub-national education authorities.</w:t>
      </w:r>
    </w:p>
    <w:p w14:paraId="3CA4DA77" w14:textId="77777777" w:rsidR="000E61B1" w:rsidRDefault="000E61B1">
      <w:pPr>
        <w:pStyle w:val="BodyText"/>
        <w:rPr>
          <w:sz w:val="24"/>
        </w:rPr>
      </w:pPr>
    </w:p>
    <w:p w14:paraId="1B5DEEEF" w14:textId="77777777" w:rsidR="000E61B1" w:rsidRDefault="000E61B1">
      <w:pPr>
        <w:pStyle w:val="BodyText"/>
        <w:rPr>
          <w:sz w:val="24"/>
        </w:rPr>
      </w:pPr>
    </w:p>
    <w:p w14:paraId="7DA40948" w14:textId="77777777" w:rsidR="000E61B1" w:rsidRDefault="00000000">
      <w:pPr>
        <w:spacing w:before="153" w:line="259" w:lineRule="auto"/>
        <w:ind w:left="220" w:right="213" w:hanging="10"/>
        <w:jc w:val="both"/>
      </w:pPr>
      <w:r>
        <w:t>Another recently</w:t>
      </w:r>
      <w:r>
        <w:rPr>
          <w:spacing w:val="-2"/>
        </w:rPr>
        <w:t xml:space="preserve"> </w:t>
      </w:r>
      <w:r>
        <w:t>published report, this time from the UK and sponsored by</w:t>
      </w:r>
      <w:r>
        <w:rPr>
          <w:spacing w:val="-1"/>
        </w:rPr>
        <w:t xml:space="preserve"> </w:t>
      </w:r>
      <w:r>
        <w:t xml:space="preserve">the DfE, provides a detailed </w:t>
      </w:r>
      <w:r>
        <w:rPr>
          <w:b/>
        </w:rPr>
        <w:t xml:space="preserve">overview of international best practice in the delivery of vocational and technical education. </w:t>
      </w:r>
      <w:r>
        <w:t xml:space="preserve">Drivers of technical excellence in the skills economy, A report for the WorldSkills UK Centre of Excellence, in partnership with NCFE, by SKOPE and the Edge </w:t>
      </w:r>
      <w:r>
        <w:rPr>
          <w:spacing w:val="-2"/>
        </w:rPr>
        <w:t>Foundation.</w:t>
      </w:r>
      <w:r>
        <w:rPr>
          <w:spacing w:val="-2"/>
          <w:vertAlign w:val="superscript"/>
        </w:rPr>
        <w:t>10</w:t>
      </w:r>
    </w:p>
    <w:p w14:paraId="190513C8" w14:textId="77777777" w:rsidR="000E61B1" w:rsidRDefault="000E61B1">
      <w:pPr>
        <w:pStyle w:val="BodyText"/>
        <w:spacing w:before="6"/>
        <w:rPr>
          <w:sz w:val="23"/>
        </w:rPr>
      </w:pPr>
    </w:p>
    <w:p w14:paraId="72D4A69C" w14:textId="77777777" w:rsidR="000E61B1" w:rsidRDefault="00000000">
      <w:pPr>
        <w:pStyle w:val="BodyText"/>
        <w:spacing w:line="259" w:lineRule="auto"/>
        <w:ind w:left="220" w:right="216"/>
        <w:jc w:val="both"/>
      </w:pPr>
      <w:r>
        <w:t>The research that sits behind this report was commissioned as part of the WorldSkills UK Centre</w:t>
      </w:r>
      <w:r>
        <w:rPr>
          <w:spacing w:val="-10"/>
        </w:rPr>
        <w:t xml:space="preserve"> </w:t>
      </w:r>
      <w:r>
        <w:t>of</w:t>
      </w:r>
      <w:r>
        <w:rPr>
          <w:spacing w:val="-6"/>
        </w:rPr>
        <w:t xml:space="preserve"> </w:t>
      </w:r>
      <w:r>
        <w:t>Excellence</w:t>
      </w:r>
      <w:r>
        <w:rPr>
          <w:spacing w:val="-6"/>
        </w:rPr>
        <w:t xml:space="preserve"> </w:t>
      </w:r>
      <w:r>
        <w:t>pilot</w:t>
      </w:r>
      <w:r>
        <w:rPr>
          <w:spacing w:val="-2"/>
        </w:rPr>
        <w:t xml:space="preserve"> </w:t>
      </w:r>
      <w:r>
        <w:t>in</w:t>
      </w:r>
      <w:r>
        <w:rPr>
          <w:spacing w:val="-6"/>
        </w:rPr>
        <w:t xml:space="preserve"> </w:t>
      </w:r>
      <w:r>
        <w:t>partnership</w:t>
      </w:r>
      <w:r>
        <w:rPr>
          <w:spacing w:val="-6"/>
        </w:rPr>
        <w:t xml:space="preserve"> </w:t>
      </w:r>
      <w:r>
        <w:t>with</w:t>
      </w:r>
      <w:r>
        <w:rPr>
          <w:spacing w:val="-6"/>
        </w:rPr>
        <w:t xml:space="preserve"> </w:t>
      </w:r>
      <w:r>
        <w:t>NCFE; a</w:t>
      </w:r>
      <w:r>
        <w:rPr>
          <w:spacing w:val="-6"/>
        </w:rPr>
        <w:t xml:space="preserve"> </w:t>
      </w:r>
      <w:r>
        <w:t>ground-breaking</w:t>
      </w:r>
      <w:r>
        <w:rPr>
          <w:spacing w:val="-6"/>
        </w:rPr>
        <w:t xml:space="preserve"> </w:t>
      </w:r>
      <w:proofErr w:type="spellStart"/>
      <w:r>
        <w:t>programme</w:t>
      </w:r>
      <w:proofErr w:type="spellEnd"/>
      <w:r>
        <w:rPr>
          <w:spacing w:val="-10"/>
        </w:rPr>
        <w:t xml:space="preserve"> </w:t>
      </w:r>
      <w:r>
        <w:t>designed to embed international best practice in teaching, assessment and learning in technical education right across the UK, with the ambition to improve outcomes for some 40,000 learners over three years.</w:t>
      </w:r>
    </w:p>
    <w:p w14:paraId="6308AF66" w14:textId="77777777" w:rsidR="000E61B1" w:rsidRDefault="00000000">
      <w:pPr>
        <w:pStyle w:val="BodyText"/>
        <w:spacing w:before="161" w:line="259" w:lineRule="auto"/>
        <w:ind w:left="220" w:right="213"/>
        <w:jc w:val="both"/>
      </w:pPr>
      <w:r>
        <w:t>Working with SKOPE and the Edge Foundation gave the researchers the opportunity to explore</w:t>
      </w:r>
      <w:r>
        <w:rPr>
          <w:spacing w:val="-4"/>
        </w:rPr>
        <w:t xml:space="preserve"> </w:t>
      </w:r>
      <w:r>
        <w:t>how</w:t>
      </w:r>
      <w:r>
        <w:rPr>
          <w:spacing w:val="-7"/>
        </w:rPr>
        <w:t xml:space="preserve"> </w:t>
      </w:r>
      <w:r>
        <w:t>seven</w:t>
      </w:r>
      <w:r>
        <w:rPr>
          <w:spacing w:val="-4"/>
        </w:rPr>
        <w:t xml:space="preserve"> </w:t>
      </w:r>
      <w:r>
        <w:t>other</w:t>
      </w:r>
      <w:r>
        <w:rPr>
          <w:spacing w:val="-8"/>
        </w:rPr>
        <w:t xml:space="preserve"> </w:t>
      </w:r>
      <w:r>
        <w:t>countries</w:t>
      </w:r>
      <w:r>
        <w:rPr>
          <w:spacing w:val="-2"/>
        </w:rPr>
        <w:t xml:space="preserve"> </w:t>
      </w:r>
      <w:r>
        <w:t>(Austria,</w:t>
      </w:r>
      <w:r>
        <w:rPr>
          <w:spacing w:val="-5"/>
        </w:rPr>
        <w:t xml:space="preserve"> </w:t>
      </w:r>
      <w:r>
        <w:t>Brazil,</w:t>
      </w:r>
      <w:r>
        <w:rPr>
          <w:spacing w:val="-5"/>
        </w:rPr>
        <w:t xml:space="preserve"> </w:t>
      </w:r>
      <w:r>
        <w:t>France,</w:t>
      </w:r>
      <w:r>
        <w:rPr>
          <w:spacing w:val="-5"/>
        </w:rPr>
        <w:t xml:space="preserve"> </w:t>
      </w:r>
      <w:r>
        <w:t>Hungary,</w:t>
      </w:r>
      <w:r>
        <w:rPr>
          <w:spacing w:val="-5"/>
        </w:rPr>
        <w:t xml:space="preserve"> </w:t>
      </w:r>
      <w:r>
        <w:t>India,</w:t>
      </w:r>
      <w:r>
        <w:rPr>
          <w:spacing w:val="-1"/>
        </w:rPr>
        <w:t xml:space="preserve"> </w:t>
      </w:r>
      <w:r>
        <w:t>Japan,</w:t>
      </w:r>
      <w:r>
        <w:rPr>
          <w:spacing w:val="-5"/>
        </w:rPr>
        <w:t xml:space="preserve"> </w:t>
      </w:r>
      <w:r>
        <w:t>and</w:t>
      </w:r>
      <w:r>
        <w:rPr>
          <w:spacing w:val="-4"/>
        </w:rPr>
        <w:t xml:space="preserve"> </w:t>
      </w:r>
      <w:r>
        <w:t>South Korea) drive technical excellence both in terms of policy and practice to see what we could learn for</w:t>
      </w:r>
      <w:r>
        <w:rPr>
          <w:spacing w:val="-3"/>
        </w:rPr>
        <w:t xml:space="preserve"> </w:t>
      </w:r>
      <w:r>
        <w:t>the Centre of</w:t>
      </w:r>
      <w:r>
        <w:rPr>
          <w:spacing w:val="-5"/>
        </w:rPr>
        <w:t xml:space="preserve"> </w:t>
      </w:r>
      <w:r>
        <w:t>Excellence,</w:t>
      </w:r>
      <w:r>
        <w:rPr>
          <w:spacing w:val="-5"/>
        </w:rPr>
        <w:t xml:space="preserve"> </w:t>
      </w:r>
      <w:r>
        <w:t>and the UK’s</w:t>
      </w:r>
      <w:r>
        <w:rPr>
          <w:spacing w:val="-1"/>
        </w:rPr>
        <w:t xml:space="preserve"> </w:t>
      </w:r>
      <w:r>
        <w:t>skills</w:t>
      </w:r>
      <w:r>
        <w:rPr>
          <w:spacing w:val="-1"/>
        </w:rPr>
        <w:t xml:space="preserve"> </w:t>
      </w:r>
      <w:r>
        <w:t>systems</w:t>
      </w:r>
      <w:r>
        <w:rPr>
          <w:spacing w:val="-6"/>
        </w:rPr>
        <w:t xml:space="preserve"> </w:t>
      </w:r>
      <w:r>
        <w:t>more</w:t>
      </w:r>
      <w:r>
        <w:rPr>
          <w:spacing w:val="-4"/>
        </w:rPr>
        <w:t xml:space="preserve"> </w:t>
      </w:r>
      <w:r>
        <w:t>broadly. There is</w:t>
      </w:r>
      <w:r>
        <w:rPr>
          <w:spacing w:val="-1"/>
        </w:rPr>
        <w:t xml:space="preserve"> </w:t>
      </w:r>
      <w:r>
        <w:t>clearly a</w:t>
      </w:r>
      <w:r>
        <w:rPr>
          <w:spacing w:val="-9"/>
        </w:rPr>
        <w:t xml:space="preserve"> </w:t>
      </w:r>
      <w:r>
        <w:t>need</w:t>
      </w:r>
      <w:r>
        <w:rPr>
          <w:spacing w:val="-9"/>
        </w:rPr>
        <w:t xml:space="preserve"> </w:t>
      </w:r>
      <w:r>
        <w:t>to</w:t>
      </w:r>
      <w:r>
        <w:rPr>
          <w:spacing w:val="-4"/>
        </w:rPr>
        <w:t xml:space="preserve"> </w:t>
      </w:r>
      <w:r>
        <w:t>share</w:t>
      </w:r>
      <w:r>
        <w:rPr>
          <w:spacing w:val="-9"/>
        </w:rPr>
        <w:t xml:space="preserve"> </w:t>
      </w:r>
      <w:r>
        <w:t>models</w:t>
      </w:r>
      <w:r>
        <w:rPr>
          <w:spacing w:val="-11"/>
        </w:rPr>
        <w:t xml:space="preserve"> </w:t>
      </w:r>
      <w:r>
        <w:t>of</w:t>
      </w:r>
      <w:r>
        <w:rPr>
          <w:spacing w:val="-10"/>
        </w:rPr>
        <w:t xml:space="preserve"> </w:t>
      </w:r>
      <w:r>
        <w:t>best</w:t>
      </w:r>
      <w:r>
        <w:rPr>
          <w:spacing w:val="-10"/>
        </w:rPr>
        <w:t xml:space="preserve"> </w:t>
      </w:r>
      <w:r>
        <w:t>practice</w:t>
      </w:r>
      <w:r>
        <w:rPr>
          <w:spacing w:val="-9"/>
        </w:rPr>
        <w:t xml:space="preserve"> </w:t>
      </w:r>
      <w:r>
        <w:t>across</w:t>
      </w:r>
      <w:r>
        <w:rPr>
          <w:spacing w:val="-6"/>
        </w:rPr>
        <w:t xml:space="preserve"> </w:t>
      </w:r>
      <w:r>
        <w:t>contexts</w:t>
      </w:r>
      <w:r>
        <w:rPr>
          <w:spacing w:val="-11"/>
        </w:rPr>
        <w:t xml:space="preserve"> </w:t>
      </w:r>
      <w:r>
        <w:t>and</w:t>
      </w:r>
      <w:r>
        <w:rPr>
          <w:spacing w:val="-9"/>
        </w:rPr>
        <w:t xml:space="preserve"> </w:t>
      </w:r>
      <w:r>
        <w:t>systems</w:t>
      </w:r>
      <w:r>
        <w:rPr>
          <w:spacing w:val="-15"/>
        </w:rPr>
        <w:t xml:space="preserve"> </w:t>
      </w:r>
      <w:r>
        <w:t>at</w:t>
      </w:r>
      <w:r>
        <w:rPr>
          <w:spacing w:val="-10"/>
        </w:rPr>
        <w:t xml:space="preserve"> </w:t>
      </w:r>
      <w:r>
        <w:t>an</w:t>
      </w:r>
      <w:r>
        <w:rPr>
          <w:spacing w:val="-9"/>
        </w:rPr>
        <w:t xml:space="preserve"> </w:t>
      </w:r>
      <w:r>
        <w:t>international</w:t>
      </w:r>
      <w:r>
        <w:rPr>
          <w:spacing w:val="-7"/>
        </w:rPr>
        <w:t xml:space="preserve"> </w:t>
      </w:r>
      <w:r>
        <w:t>level. This report, therefore, presents findings from a comparative research project examining the mechanisms and drivers of technical excellence in seven skills systems around the world.</w:t>
      </w:r>
    </w:p>
    <w:p w14:paraId="5F3DB84A" w14:textId="77777777" w:rsidR="000E61B1" w:rsidRDefault="00000000">
      <w:pPr>
        <w:pStyle w:val="BodyText"/>
        <w:spacing w:before="157"/>
        <w:ind w:left="220"/>
        <w:jc w:val="both"/>
      </w:pPr>
      <w:r>
        <w:t>Points</w:t>
      </w:r>
      <w:r>
        <w:rPr>
          <w:spacing w:val="-7"/>
        </w:rPr>
        <w:t xml:space="preserve"> </w:t>
      </w:r>
      <w:r>
        <w:t>of</w:t>
      </w:r>
      <w:r>
        <w:rPr>
          <w:spacing w:val="-3"/>
        </w:rPr>
        <w:t xml:space="preserve"> </w:t>
      </w:r>
      <w:r>
        <w:t>interest</w:t>
      </w:r>
      <w:r>
        <w:rPr>
          <w:spacing w:val="-4"/>
        </w:rPr>
        <w:t xml:space="preserve"> </w:t>
      </w:r>
      <w:r>
        <w:t>to</w:t>
      </w:r>
      <w:r>
        <w:rPr>
          <w:spacing w:val="-3"/>
        </w:rPr>
        <w:t xml:space="preserve"> </w:t>
      </w:r>
      <w:r>
        <w:t>senior</w:t>
      </w:r>
      <w:r>
        <w:rPr>
          <w:spacing w:val="-11"/>
        </w:rPr>
        <w:t xml:space="preserve"> </w:t>
      </w:r>
      <w:r>
        <w:t>curriculum</w:t>
      </w:r>
      <w:r>
        <w:rPr>
          <w:spacing w:val="-6"/>
        </w:rPr>
        <w:t xml:space="preserve"> </w:t>
      </w:r>
      <w:r>
        <w:t>and</w:t>
      </w:r>
      <w:r>
        <w:rPr>
          <w:spacing w:val="-8"/>
        </w:rPr>
        <w:t xml:space="preserve"> </w:t>
      </w:r>
      <w:r>
        <w:t>quality</w:t>
      </w:r>
      <w:r>
        <w:rPr>
          <w:spacing w:val="-4"/>
        </w:rPr>
        <w:t xml:space="preserve"> </w:t>
      </w:r>
      <w:r>
        <w:t>leaders</w:t>
      </w:r>
      <w:r>
        <w:rPr>
          <w:spacing w:val="-4"/>
        </w:rPr>
        <w:t xml:space="preserve"> </w:t>
      </w:r>
      <w:r>
        <w:rPr>
          <w:spacing w:val="-2"/>
        </w:rPr>
        <w:t>include:</w:t>
      </w:r>
    </w:p>
    <w:p w14:paraId="5DD3DFB9" w14:textId="77777777" w:rsidR="000E61B1" w:rsidRDefault="00000000">
      <w:pPr>
        <w:spacing w:before="180" w:line="259" w:lineRule="auto"/>
        <w:ind w:left="220" w:right="212"/>
        <w:jc w:val="both"/>
        <w:rPr>
          <w:i/>
        </w:rPr>
      </w:pPr>
      <w:r>
        <w:rPr>
          <w:i/>
        </w:rPr>
        <w:t xml:space="preserve">In Austria and Hungary </w:t>
      </w:r>
      <w:r>
        <w:rPr>
          <w:b/>
          <w:i/>
        </w:rPr>
        <w:t xml:space="preserve">project-based learning </w:t>
      </w:r>
      <w:r>
        <w:rPr>
          <w:i/>
        </w:rPr>
        <w:t>is an important element of how they drive excellence through teaching practice, whereas in Brazil employers are seen as the main customers</w:t>
      </w:r>
      <w:r>
        <w:rPr>
          <w:i/>
          <w:spacing w:val="40"/>
        </w:rPr>
        <w:t xml:space="preserve"> </w:t>
      </w:r>
      <w:r>
        <w:rPr>
          <w:i/>
        </w:rPr>
        <w:t>of</w:t>
      </w:r>
      <w:r>
        <w:rPr>
          <w:i/>
          <w:spacing w:val="40"/>
        </w:rPr>
        <w:t xml:space="preserve"> </w:t>
      </w:r>
      <w:r>
        <w:rPr>
          <w:i/>
        </w:rPr>
        <w:t>the</w:t>
      </w:r>
      <w:r>
        <w:rPr>
          <w:i/>
          <w:spacing w:val="40"/>
        </w:rPr>
        <w:t xml:space="preserve"> </w:t>
      </w:r>
      <w:r>
        <w:rPr>
          <w:i/>
        </w:rPr>
        <w:t>TVET</w:t>
      </w:r>
      <w:r>
        <w:rPr>
          <w:i/>
          <w:spacing w:val="60"/>
        </w:rPr>
        <w:t xml:space="preserve"> </w:t>
      </w:r>
      <w:r>
        <w:rPr>
          <w:i/>
        </w:rPr>
        <w:t>(Technical</w:t>
      </w:r>
      <w:r>
        <w:rPr>
          <w:i/>
          <w:spacing w:val="40"/>
        </w:rPr>
        <w:t xml:space="preserve"> </w:t>
      </w:r>
      <w:r>
        <w:rPr>
          <w:i/>
        </w:rPr>
        <w:t>Vocational</w:t>
      </w:r>
      <w:r>
        <w:rPr>
          <w:i/>
          <w:spacing w:val="40"/>
        </w:rPr>
        <w:t xml:space="preserve"> </w:t>
      </w:r>
      <w:r>
        <w:rPr>
          <w:i/>
        </w:rPr>
        <w:t>Education</w:t>
      </w:r>
      <w:r>
        <w:rPr>
          <w:i/>
          <w:spacing w:val="40"/>
        </w:rPr>
        <w:t xml:space="preserve"> </w:t>
      </w:r>
      <w:r>
        <w:rPr>
          <w:i/>
        </w:rPr>
        <w:t>and</w:t>
      </w:r>
      <w:r>
        <w:rPr>
          <w:i/>
          <w:spacing w:val="40"/>
        </w:rPr>
        <w:t xml:space="preserve"> </w:t>
      </w:r>
      <w:r>
        <w:rPr>
          <w:i/>
        </w:rPr>
        <w:t>Training)</w:t>
      </w:r>
      <w:r>
        <w:rPr>
          <w:i/>
          <w:spacing w:val="63"/>
        </w:rPr>
        <w:t xml:space="preserve"> </w:t>
      </w:r>
      <w:r>
        <w:rPr>
          <w:i/>
        </w:rPr>
        <w:t>system</w:t>
      </w:r>
      <w:r>
        <w:rPr>
          <w:i/>
          <w:spacing w:val="40"/>
        </w:rPr>
        <w:t xml:space="preserve"> </w:t>
      </w:r>
      <w:r>
        <w:rPr>
          <w:i/>
        </w:rPr>
        <w:t>and</w:t>
      </w:r>
      <w:r>
        <w:rPr>
          <w:i/>
          <w:spacing w:val="40"/>
        </w:rPr>
        <w:t xml:space="preserve"> </w:t>
      </w:r>
      <w:r>
        <w:rPr>
          <w:i/>
        </w:rPr>
        <w:t>are</w:t>
      </w:r>
    </w:p>
    <w:p w14:paraId="243AAB2E" w14:textId="77777777" w:rsidR="000E61B1" w:rsidRDefault="00000000">
      <w:pPr>
        <w:pStyle w:val="BodyText"/>
        <w:spacing w:before="11"/>
        <w:rPr>
          <w:i/>
          <w:sz w:val="20"/>
        </w:rPr>
      </w:pPr>
      <w:r>
        <w:pict w14:anchorId="3344E9C1">
          <v:rect id="docshape5" o:spid="_x0000_s2057" style="position:absolute;margin-left:1in;margin-top:13.25pt;width:144.05pt;height:.7pt;z-index:-15726592;mso-wrap-distance-left:0;mso-wrap-distance-right:0;mso-position-horizontal-relative:page" fillcolor="black" stroked="f">
            <w10:wrap type="topAndBottom" anchorx="page"/>
          </v:rect>
        </w:pict>
      </w:r>
    </w:p>
    <w:p w14:paraId="79C5B78F" w14:textId="77777777" w:rsidR="000E61B1" w:rsidRDefault="00000000">
      <w:pPr>
        <w:spacing w:before="102"/>
        <w:ind w:left="220" w:right="294"/>
        <w:rPr>
          <w:sz w:val="20"/>
        </w:rPr>
      </w:pPr>
      <w:r>
        <w:rPr>
          <w:rFonts w:ascii="Calibri"/>
          <w:sz w:val="20"/>
          <w:vertAlign w:val="superscript"/>
        </w:rPr>
        <w:t>9</w:t>
      </w:r>
      <w:r>
        <w:rPr>
          <w:rFonts w:ascii="Calibri"/>
          <w:sz w:val="20"/>
        </w:rPr>
        <w:t xml:space="preserve"> </w:t>
      </w:r>
      <w:hyperlink r:id="rId47">
        <w:r>
          <w:rPr>
            <w:color w:val="1154CC"/>
            <w:sz w:val="20"/>
            <w:u w:val="single" w:color="1154CC"/>
          </w:rPr>
          <w:t>Improving</w:t>
        </w:r>
        <w:r>
          <w:rPr>
            <w:color w:val="1154CC"/>
            <w:spacing w:val="-8"/>
            <w:sz w:val="20"/>
            <w:u w:val="single" w:color="1154CC"/>
          </w:rPr>
          <w:t xml:space="preserve"> </w:t>
        </w:r>
        <w:r>
          <w:rPr>
            <w:color w:val="1154CC"/>
            <w:sz w:val="20"/>
            <w:u w:val="single" w:color="1154CC"/>
          </w:rPr>
          <w:t>the</w:t>
        </w:r>
        <w:r>
          <w:rPr>
            <w:color w:val="1154CC"/>
            <w:spacing w:val="-3"/>
            <w:sz w:val="20"/>
            <w:u w:val="single" w:color="1154CC"/>
          </w:rPr>
          <w:t xml:space="preserve"> </w:t>
        </w:r>
        <w:r>
          <w:rPr>
            <w:color w:val="1154CC"/>
            <w:sz w:val="20"/>
            <w:u w:val="single" w:color="1154CC"/>
          </w:rPr>
          <w:t>Quality</w:t>
        </w:r>
        <w:r>
          <w:rPr>
            <w:color w:val="1154CC"/>
            <w:spacing w:val="-2"/>
            <w:sz w:val="20"/>
            <w:u w:val="single" w:color="1154CC"/>
          </w:rPr>
          <w:t xml:space="preserve"> </w:t>
        </w:r>
        <w:r>
          <w:rPr>
            <w:color w:val="1154CC"/>
            <w:sz w:val="20"/>
            <w:u w:val="single" w:color="1154CC"/>
          </w:rPr>
          <w:t>of Non-Formal</w:t>
        </w:r>
        <w:r>
          <w:rPr>
            <w:color w:val="1154CC"/>
            <w:spacing w:val="-3"/>
            <w:sz w:val="20"/>
            <w:u w:val="single" w:color="1154CC"/>
          </w:rPr>
          <w:t xml:space="preserve"> </w:t>
        </w:r>
        <w:r>
          <w:rPr>
            <w:color w:val="1154CC"/>
            <w:sz w:val="20"/>
            <w:u w:val="single" w:color="1154CC"/>
          </w:rPr>
          <w:t>Adult Learning</w:t>
        </w:r>
        <w:r>
          <w:rPr>
            <w:color w:val="1154CC"/>
            <w:spacing w:val="-3"/>
            <w:sz w:val="20"/>
            <w:u w:val="single" w:color="1154CC"/>
          </w:rPr>
          <w:t xml:space="preserve"> </w:t>
        </w:r>
        <w:r>
          <w:rPr>
            <w:color w:val="1154CC"/>
            <w:sz w:val="20"/>
            <w:u w:val="single" w:color="1154CC"/>
          </w:rPr>
          <w:t>: Learning</w:t>
        </w:r>
        <w:r>
          <w:rPr>
            <w:color w:val="1154CC"/>
            <w:spacing w:val="-3"/>
            <w:sz w:val="20"/>
            <w:u w:val="single" w:color="1154CC"/>
          </w:rPr>
          <w:t xml:space="preserve"> </w:t>
        </w:r>
        <w:r>
          <w:rPr>
            <w:color w:val="1154CC"/>
            <w:sz w:val="20"/>
            <w:u w:val="single" w:color="1154CC"/>
          </w:rPr>
          <w:t>from</w:t>
        </w:r>
        <w:r>
          <w:rPr>
            <w:color w:val="1154CC"/>
            <w:spacing w:val="-2"/>
            <w:sz w:val="20"/>
            <w:u w:val="single" w:color="1154CC"/>
          </w:rPr>
          <w:t xml:space="preserve"> </w:t>
        </w:r>
        <w:r>
          <w:rPr>
            <w:color w:val="1154CC"/>
            <w:sz w:val="20"/>
            <w:u w:val="single" w:color="1154CC"/>
          </w:rPr>
          <w:t>European</w:t>
        </w:r>
        <w:r>
          <w:rPr>
            <w:color w:val="1154CC"/>
            <w:spacing w:val="-3"/>
            <w:sz w:val="20"/>
            <w:u w:val="single" w:color="1154CC"/>
          </w:rPr>
          <w:t xml:space="preserve"> </w:t>
        </w:r>
        <w:r>
          <w:rPr>
            <w:color w:val="1154CC"/>
            <w:sz w:val="20"/>
            <w:u w:val="single" w:color="1154CC"/>
          </w:rPr>
          <w:t>Best</w:t>
        </w:r>
        <w:r>
          <w:rPr>
            <w:color w:val="1154CC"/>
            <w:spacing w:val="-5"/>
            <w:sz w:val="20"/>
            <w:u w:val="single" w:color="1154CC"/>
          </w:rPr>
          <w:t xml:space="preserve"> </w:t>
        </w:r>
        <w:r>
          <w:rPr>
            <w:color w:val="1154CC"/>
            <w:sz w:val="20"/>
            <w:u w:val="single" w:color="1154CC"/>
          </w:rPr>
          <w:t>Practices</w:t>
        </w:r>
        <w:r>
          <w:rPr>
            <w:color w:val="1154CC"/>
            <w:spacing w:val="-2"/>
            <w:sz w:val="20"/>
            <w:u w:val="single" w:color="1154CC"/>
          </w:rPr>
          <w:t xml:space="preserve"> </w:t>
        </w:r>
        <w:r>
          <w:rPr>
            <w:color w:val="1154CC"/>
            <w:sz w:val="20"/>
            <w:u w:val="single" w:color="1154CC"/>
          </w:rPr>
          <w:t>on</w:t>
        </w:r>
      </w:hyperlink>
      <w:r>
        <w:rPr>
          <w:color w:val="1154CC"/>
          <w:sz w:val="20"/>
        </w:rPr>
        <w:t xml:space="preserve"> </w:t>
      </w:r>
      <w:hyperlink r:id="rId48">
        <w:r>
          <w:rPr>
            <w:color w:val="1154CC"/>
            <w:sz w:val="20"/>
            <w:u w:val="single" w:color="1154CC"/>
          </w:rPr>
          <w:t xml:space="preserve">Quality Assurance | Getting Skills Right | OECD </w:t>
        </w:r>
        <w:proofErr w:type="spellStart"/>
        <w:r>
          <w:rPr>
            <w:color w:val="1154CC"/>
            <w:sz w:val="20"/>
            <w:u w:val="single" w:color="1154CC"/>
          </w:rPr>
          <w:t>iLibrary</w:t>
        </w:r>
        <w:proofErr w:type="spellEnd"/>
        <w:r>
          <w:rPr>
            <w:color w:val="1154CC"/>
            <w:sz w:val="20"/>
            <w:u w:val="single" w:color="1154CC"/>
          </w:rPr>
          <w:t xml:space="preserve"> (oecd-ilibrary.org)</w:t>
        </w:r>
      </w:hyperlink>
    </w:p>
    <w:p w14:paraId="311FDD77" w14:textId="77777777" w:rsidR="000E61B1" w:rsidRDefault="00000000">
      <w:pPr>
        <w:spacing w:before="2"/>
        <w:ind w:left="220"/>
        <w:rPr>
          <w:sz w:val="20"/>
        </w:rPr>
      </w:pPr>
      <w:r>
        <w:rPr>
          <w:rFonts w:ascii="Calibri"/>
          <w:sz w:val="20"/>
          <w:vertAlign w:val="superscript"/>
        </w:rPr>
        <w:t>10</w:t>
      </w:r>
      <w:r>
        <w:rPr>
          <w:rFonts w:ascii="Calibri"/>
          <w:spacing w:val="-5"/>
          <w:sz w:val="20"/>
        </w:rPr>
        <w:t xml:space="preserve"> </w:t>
      </w:r>
      <w:hyperlink r:id="rId49">
        <w:r>
          <w:rPr>
            <w:color w:val="0000FF"/>
            <w:sz w:val="20"/>
            <w:u w:val="single" w:color="0000FF"/>
          </w:rPr>
          <w:t>SKOPE-final.pdf</w:t>
        </w:r>
        <w:r>
          <w:rPr>
            <w:color w:val="0000FF"/>
            <w:spacing w:val="-8"/>
            <w:sz w:val="20"/>
            <w:u w:val="single" w:color="0000FF"/>
          </w:rPr>
          <w:t xml:space="preserve"> </w:t>
        </w:r>
        <w:r>
          <w:rPr>
            <w:color w:val="0000FF"/>
            <w:spacing w:val="-2"/>
            <w:sz w:val="20"/>
            <w:u w:val="single" w:color="0000FF"/>
          </w:rPr>
          <w:t>(edge.co.uk)</w:t>
        </w:r>
      </w:hyperlink>
    </w:p>
    <w:p w14:paraId="2E7FE317" w14:textId="77777777" w:rsidR="000E61B1" w:rsidRDefault="000E61B1">
      <w:pPr>
        <w:rPr>
          <w:sz w:val="20"/>
        </w:rPr>
        <w:sectPr w:rsidR="000E61B1">
          <w:pgSz w:w="11910" w:h="16840"/>
          <w:pgMar w:top="1400" w:right="1220" w:bottom="280" w:left="1220" w:header="708" w:footer="0" w:gutter="0"/>
          <w:cols w:space="720"/>
        </w:sectPr>
      </w:pPr>
    </w:p>
    <w:p w14:paraId="7B37C06B" w14:textId="77777777" w:rsidR="000E61B1" w:rsidRDefault="00000000">
      <w:pPr>
        <w:spacing w:before="30" w:line="259" w:lineRule="auto"/>
        <w:ind w:left="220" w:right="206"/>
        <w:jc w:val="both"/>
        <w:rPr>
          <w:i/>
        </w:rPr>
      </w:pPr>
      <w:r>
        <w:rPr>
          <w:i/>
        </w:rPr>
        <w:lastRenderedPageBreak/>
        <w:t>involved in making sure cross-occupational competencies are considered alongside occupational</w:t>
      </w:r>
      <w:r>
        <w:rPr>
          <w:i/>
          <w:spacing w:val="-12"/>
        </w:rPr>
        <w:t xml:space="preserve"> </w:t>
      </w:r>
      <w:r>
        <w:rPr>
          <w:i/>
        </w:rPr>
        <w:t>specific</w:t>
      </w:r>
      <w:r>
        <w:rPr>
          <w:i/>
          <w:spacing w:val="-11"/>
        </w:rPr>
        <w:t xml:space="preserve"> </w:t>
      </w:r>
      <w:r>
        <w:rPr>
          <w:i/>
        </w:rPr>
        <w:t>standards.</w:t>
      </w:r>
      <w:r>
        <w:rPr>
          <w:i/>
          <w:spacing w:val="-10"/>
        </w:rPr>
        <w:t xml:space="preserve"> </w:t>
      </w:r>
      <w:r>
        <w:rPr>
          <w:i/>
        </w:rPr>
        <w:t>In</w:t>
      </w:r>
      <w:r>
        <w:rPr>
          <w:i/>
          <w:spacing w:val="-9"/>
        </w:rPr>
        <w:t xml:space="preserve"> </w:t>
      </w:r>
      <w:r>
        <w:rPr>
          <w:i/>
        </w:rPr>
        <w:t>Austria,</w:t>
      </w:r>
      <w:r>
        <w:rPr>
          <w:i/>
          <w:spacing w:val="-14"/>
        </w:rPr>
        <w:t xml:space="preserve"> </w:t>
      </w:r>
      <w:r>
        <w:rPr>
          <w:i/>
        </w:rPr>
        <w:t>some</w:t>
      </w:r>
      <w:r>
        <w:rPr>
          <w:i/>
          <w:spacing w:val="-13"/>
        </w:rPr>
        <w:t xml:space="preserve"> </w:t>
      </w:r>
      <w:r>
        <w:rPr>
          <w:i/>
        </w:rPr>
        <w:t>TVET</w:t>
      </w:r>
      <w:r>
        <w:rPr>
          <w:i/>
          <w:spacing w:val="-11"/>
        </w:rPr>
        <w:t xml:space="preserve"> </w:t>
      </w:r>
      <w:r>
        <w:rPr>
          <w:i/>
        </w:rPr>
        <w:t>schools</w:t>
      </w:r>
      <w:r>
        <w:rPr>
          <w:i/>
          <w:spacing w:val="-11"/>
        </w:rPr>
        <w:t xml:space="preserve"> </w:t>
      </w:r>
      <w:r>
        <w:rPr>
          <w:i/>
        </w:rPr>
        <w:t>had</w:t>
      </w:r>
      <w:r>
        <w:rPr>
          <w:i/>
          <w:spacing w:val="-9"/>
        </w:rPr>
        <w:t xml:space="preserve"> </w:t>
      </w:r>
      <w:r>
        <w:rPr>
          <w:i/>
        </w:rPr>
        <w:t>introduced</w:t>
      </w:r>
      <w:r>
        <w:rPr>
          <w:i/>
          <w:spacing w:val="-13"/>
        </w:rPr>
        <w:t xml:space="preserve"> </w:t>
      </w:r>
      <w:r>
        <w:rPr>
          <w:i/>
        </w:rPr>
        <w:t>project-based learning involving no subject boundaries and greater emphasis is placed on skills and competency development. These projects were often set by local employers and could therefore be said to be more reflective of current industry needs.</w:t>
      </w:r>
    </w:p>
    <w:p w14:paraId="24DDCB9F" w14:textId="77777777" w:rsidR="000E61B1" w:rsidRDefault="00000000">
      <w:pPr>
        <w:spacing w:before="161" w:line="256" w:lineRule="auto"/>
        <w:ind w:left="220" w:right="212"/>
        <w:jc w:val="both"/>
        <w:rPr>
          <w:i/>
        </w:rPr>
      </w:pPr>
      <w:r>
        <w:rPr>
          <w:i/>
        </w:rPr>
        <w:t>A</w:t>
      </w:r>
      <w:r>
        <w:rPr>
          <w:i/>
          <w:spacing w:val="-1"/>
        </w:rPr>
        <w:t xml:space="preserve"> </w:t>
      </w:r>
      <w:r>
        <w:rPr>
          <w:i/>
        </w:rPr>
        <w:t>clear</w:t>
      </w:r>
      <w:r>
        <w:rPr>
          <w:i/>
          <w:spacing w:val="-4"/>
        </w:rPr>
        <w:t xml:space="preserve"> </w:t>
      </w:r>
      <w:r>
        <w:rPr>
          <w:i/>
        </w:rPr>
        <w:t>message</w:t>
      </w:r>
      <w:r>
        <w:rPr>
          <w:i/>
          <w:spacing w:val="-5"/>
        </w:rPr>
        <w:t xml:space="preserve"> </w:t>
      </w:r>
      <w:r>
        <w:rPr>
          <w:i/>
        </w:rPr>
        <w:t>is</w:t>
      </w:r>
      <w:r>
        <w:rPr>
          <w:i/>
          <w:spacing w:val="-7"/>
        </w:rPr>
        <w:t xml:space="preserve"> </w:t>
      </w:r>
      <w:r>
        <w:rPr>
          <w:i/>
        </w:rPr>
        <w:t>that</w:t>
      </w:r>
      <w:r>
        <w:rPr>
          <w:i/>
          <w:spacing w:val="-6"/>
        </w:rPr>
        <w:t xml:space="preserve"> </w:t>
      </w:r>
      <w:r>
        <w:rPr>
          <w:i/>
        </w:rPr>
        <w:t>employers,</w:t>
      </w:r>
      <w:r>
        <w:rPr>
          <w:i/>
          <w:spacing w:val="-6"/>
        </w:rPr>
        <w:t xml:space="preserve"> </w:t>
      </w:r>
      <w:r>
        <w:rPr>
          <w:i/>
        </w:rPr>
        <w:t>education</w:t>
      </w:r>
      <w:r>
        <w:rPr>
          <w:i/>
          <w:spacing w:val="-5"/>
        </w:rPr>
        <w:t xml:space="preserve"> </w:t>
      </w:r>
      <w:r>
        <w:rPr>
          <w:i/>
        </w:rPr>
        <w:t>and</w:t>
      </w:r>
      <w:r>
        <w:rPr>
          <w:i/>
          <w:spacing w:val="-5"/>
        </w:rPr>
        <w:t xml:space="preserve"> </w:t>
      </w:r>
      <w:r>
        <w:rPr>
          <w:i/>
        </w:rPr>
        <w:t>training</w:t>
      </w:r>
      <w:r>
        <w:rPr>
          <w:i/>
          <w:spacing w:val="-5"/>
        </w:rPr>
        <w:t xml:space="preserve"> </w:t>
      </w:r>
      <w:r>
        <w:rPr>
          <w:i/>
        </w:rPr>
        <w:t>providers,</w:t>
      </w:r>
      <w:r>
        <w:rPr>
          <w:i/>
          <w:spacing w:val="-6"/>
        </w:rPr>
        <w:t xml:space="preserve"> </w:t>
      </w:r>
      <w:r>
        <w:rPr>
          <w:i/>
        </w:rPr>
        <w:t>and</w:t>
      </w:r>
      <w:r>
        <w:rPr>
          <w:i/>
          <w:spacing w:val="-5"/>
        </w:rPr>
        <w:t xml:space="preserve"> </w:t>
      </w:r>
      <w:r>
        <w:rPr>
          <w:i/>
        </w:rPr>
        <w:t>policy</w:t>
      </w:r>
      <w:r>
        <w:rPr>
          <w:i/>
          <w:spacing w:val="-2"/>
        </w:rPr>
        <w:t xml:space="preserve"> </w:t>
      </w:r>
      <w:r>
        <w:rPr>
          <w:i/>
        </w:rPr>
        <w:t>makers</w:t>
      </w:r>
      <w:r>
        <w:rPr>
          <w:i/>
          <w:spacing w:val="-2"/>
        </w:rPr>
        <w:t xml:space="preserve"> </w:t>
      </w:r>
      <w:r>
        <w:rPr>
          <w:i/>
        </w:rPr>
        <w:t xml:space="preserve">must work together in any </w:t>
      </w:r>
      <w:proofErr w:type="spellStart"/>
      <w:r>
        <w:rPr>
          <w:i/>
        </w:rPr>
        <w:t>endeavour</w:t>
      </w:r>
      <w:proofErr w:type="spellEnd"/>
      <w:r>
        <w:rPr>
          <w:i/>
        </w:rPr>
        <w:t xml:space="preserve"> to improve the quality and prestige in TVET, making it an attractive pathway</w:t>
      </w:r>
    </w:p>
    <w:p w14:paraId="6BD96B40" w14:textId="77777777" w:rsidR="000E61B1" w:rsidRDefault="00000000">
      <w:pPr>
        <w:spacing w:before="168" w:line="259" w:lineRule="auto"/>
        <w:ind w:left="220" w:right="207"/>
        <w:jc w:val="both"/>
        <w:rPr>
          <w:i/>
        </w:rPr>
      </w:pPr>
      <w:r>
        <w:rPr>
          <w:i/>
        </w:rPr>
        <w:t>Teaching</w:t>
      </w:r>
      <w:r>
        <w:rPr>
          <w:i/>
          <w:spacing w:val="-9"/>
        </w:rPr>
        <w:t xml:space="preserve"> </w:t>
      </w:r>
      <w:r>
        <w:rPr>
          <w:i/>
        </w:rPr>
        <w:t>excellence</w:t>
      </w:r>
      <w:r>
        <w:rPr>
          <w:i/>
          <w:spacing w:val="-4"/>
        </w:rPr>
        <w:t xml:space="preserve"> </w:t>
      </w:r>
      <w:r>
        <w:rPr>
          <w:i/>
        </w:rPr>
        <w:t>is</w:t>
      </w:r>
      <w:r>
        <w:rPr>
          <w:i/>
          <w:spacing w:val="-6"/>
        </w:rPr>
        <w:t xml:space="preserve"> </w:t>
      </w:r>
      <w:r>
        <w:rPr>
          <w:i/>
        </w:rPr>
        <w:t>innovative</w:t>
      </w:r>
      <w:r>
        <w:rPr>
          <w:i/>
          <w:spacing w:val="-9"/>
        </w:rPr>
        <w:t xml:space="preserve"> </w:t>
      </w:r>
      <w:r>
        <w:rPr>
          <w:i/>
        </w:rPr>
        <w:t>and</w:t>
      </w:r>
      <w:r>
        <w:rPr>
          <w:i/>
          <w:spacing w:val="-4"/>
        </w:rPr>
        <w:t xml:space="preserve"> </w:t>
      </w:r>
      <w:r>
        <w:rPr>
          <w:i/>
        </w:rPr>
        <w:t>responsive</w:t>
      </w:r>
      <w:r>
        <w:rPr>
          <w:i/>
          <w:spacing w:val="-9"/>
        </w:rPr>
        <w:t xml:space="preserve"> </w:t>
      </w:r>
      <w:r>
        <w:rPr>
          <w:i/>
        </w:rPr>
        <w:t>to</w:t>
      </w:r>
      <w:r>
        <w:rPr>
          <w:i/>
          <w:spacing w:val="-4"/>
        </w:rPr>
        <w:t xml:space="preserve"> </w:t>
      </w:r>
      <w:r>
        <w:rPr>
          <w:i/>
        </w:rPr>
        <w:t>emerging</w:t>
      </w:r>
      <w:r>
        <w:rPr>
          <w:i/>
          <w:spacing w:val="-4"/>
        </w:rPr>
        <w:t xml:space="preserve"> </w:t>
      </w:r>
      <w:r>
        <w:rPr>
          <w:i/>
        </w:rPr>
        <w:t>needs.</w:t>
      </w:r>
      <w:r>
        <w:rPr>
          <w:i/>
          <w:spacing w:val="-5"/>
        </w:rPr>
        <w:t xml:space="preserve"> </w:t>
      </w:r>
      <w:r>
        <w:rPr>
          <w:i/>
        </w:rPr>
        <w:t>Teaching</w:t>
      </w:r>
      <w:r>
        <w:rPr>
          <w:i/>
          <w:spacing w:val="-9"/>
        </w:rPr>
        <w:t xml:space="preserve"> </w:t>
      </w:r>
      <w:r>
        <w:rPr>
          <w:i/>
        </w:rPr>
        <w:t>excellence</w:t>
      </w:r>
      <w:r>
        <w:rPr>
          <w:i/>
          <w:spacing w:val="-4"/>
        </w:rPr>
        <w:t xml:space="preserve"> </w:t>
      </w:r>
      <w:r>
        <w:rPr>
          <w:i/>
        </w:rPr>
        <w:t xml:space="preserve">is underpinned by </w:t>
      </w:r>
      <w:r>
        <w:rPr>
          <w:b/>
          <w:i/>
        </w:rPr>
        <w:t xml:space="preserve">agile pedagogic adaptations </w:t>
      </w:r>
      <w:r>
        <w:rPr>
          <w:i/>
        </w:rPr>
        <w:t xml:space="preserve">that </w:t>
      </w:r>
      <w:proofErr w:type="gramStart"/>
      <w:r>
        <w:rPr>
          <w:i/>
        </w:rPr>
        <w:t>take into account</w:t>
      </w:r>
      <w:proofErr w:type="gramEnd"/>
      <w:r>
        <w:rPr>
          <w:i/>
        </w:rPr>
        <w:t xml:space="preserve"> employer needs, technological changes and shifts in industry practice. Access to and investment in </w:t>
      </w:r>
      <w:r>
        <w:rPr>
          <w:b/>
          <w:i/>
        </w:rPr>
        <w:t xml:space="preserve">high quality CPD </w:t>
      </w:r>
      <w:r>
        <w:rPr>
          <w:i/>
        </w:rPr>
        <w:t>is critical</w:t>
      </w:r>
      <w:r>
        <w:rPr>
          <w:i/>
          <w:spacing w:val="-1"/>
        </w:rPr>
        <w:t xml:space="preserve"> </w:t>
      </w:r>
      <w:r>
        <w:rPr>
          <w:i/>
        </w:rPr>
        <w:t>to teaching excellence ensuring trainers incorporate changes in skills, technology, and industry practice into their teaching and pedagogic approaches and work to the latest standards. WorldSkills provides a ‘third space’ that enables trainers to experiment with pedagogy and technology in a way that drives innovation.</w:t>
      </w:r>
    </w:p>
    <w:p w14:paraId="0EF463F3" w14:textId="77777777" w:rsidR="000E61B1" w:rsidRDefault="00000000">
      <w:pPr>
        <w:spacing w:before="156" w:line="259" w:lineRule="auto"/>
        <w:ind w:left="220" w:right="215"/>
        <w:jc w:val="both"/>
        <w:rPr>
          <w:i/>
        </w:rPr>
      </w:pPr>
      <w:r>
        <w:rPr>
          <w:i/>
        </w:rPr>
        <w:t xml:space="preserve">Across the case study countries, </w:t>
      </w:r>
      <w:r>
        <w:rPr>
          <w:b/>
          <w:i/>
        </w:rPr>
        <w:t xml:space="preserve">WorldSkills </w:t>
      </w:r>
      <w:r>
        <w:rPr>
          <w:i/>
        </w:rPr>
        <w:t xml:space="preserve">played a critical role in the TVET systems, shaping teaching standards, and driving teaching excellence in its </w:t>
      </w:r>
      <w:proofErr w:type="spellStart"/>
      <w:r>
        <w:rPr>
          <w:i/>
        </w:rPr>
        <w:t>conceptualisation</w:t>
      </w:r>
      <w:proofErr w:type="spellEnd"/>
      <w:r>
        <w:rPr>
          <w:i/>
        </w:rPr>
        <w:t xml:space="preserve"> and enactment. In the most successful skills systems, WorldSkills worked across different </w:t>
      </w:r>
      <w:proofErr w:type="spellStart"/>
      <w:r>
        <w:rPr>
          <w:i/>
        </w:rPr>
        <w:t>specialities</w:t>
      </w:r>
      <w:proofErr w:type="spellEnd"/>
      <w:r>
        <w:rPr>
          <w:i/>
        </w:rPr>
        <w:t>,</w:t>
      </w:r>
      <w:r>
        <w:rPr>
          <w:i/>
          <w:spacing w:val="-6"/>
        </w:rPr>
        <w:t xml:space="preserve"> </w:t>
      </w:r>
      <w:r>
        <w:rPr>
          <w:i/>
        </w:rPr>
        <w:t>bridging</w:t>
      </w:r>
      <w:r>
        <w:rPr>
          <w:i/>
          <w:spacing w:val="-5"/>
        </w:rPr>
        <w:t xml:space="preserve"> </w:t>
      </w:r>
      <w:r>
        <w:rPr>
          <w:i/>
        </w:rPr>
        <w:t>local,</w:t>
      </w:r>
      <w:r>
        <w:rPr>
          <w:i/>
          <w:spacing w:val="-6"/>
        </w:rPr>
        <w:t xml:space="preserve"> </w:t>
      </w:r>
      <w:proofErr w:type="gramStart"/>
      <w:r>
        <w:rPr>
          <w:i/>
        </w:rPr>
        <w:t>national</w:t>
      </w:r>
      <w:proofErr w:type="gramEnd"/>
      <w:r>
        <w:rPr>
          <w:i/>
          <w:spacing w:val="-8"/>
        </w:rPr>
        <w:t xml:space="preserve"> </w:t>
      </w:r>
      <w:r>
        <w:rPr>
          <w:i/>
        </w:rPr>
        <w:t>and</w:t>
      </w:r>
      <w:r>
        <w:rPr>
          <w:i/>
          <w:spacing w:val="-5"/>
        </w:rPr>
        <w:t xml:space="preserve"> </w:t>
      </w:r>
      <w:r>
        <w:rPr>
          <w:i/>
        </w:rPr>
        <w:t>international</w:t>
      </w:r>
      <w:r>
        <w:rPr>
          <w:i/>
          <w:spacing w:val="-3"/>
        </w:rPr>
        <w:t xml:space="preserve"> </w:t>
      </w:r>
      <w:r>
        <w:rPr>
          <w:i/>
        </w:rPr>
        <w:t>contexts</w:t>
      </w:r>
      <w:r>
        <w:rPr>
          <w:i/>
          <w:spacing w:val="-7"/>
        </w:rPr>
        <w:t xml:space="preserve"> </w:t>
      </w:r>
      <w:r>
        <w:rPr>
          <w:i/>
        </w:rPr>
        <w:t>in</w:t>
      </w:r>
      <w:r>
        <w:rPr>
          <w:i/>
          <w:spacing w:val="-5"/>
        </w:rPr>
        <w:t xml:space="preserve"> </w:t>
      </w:r>
      <w:r>
        <w:rPr>
          <w:i/>
        </w:rPr>
        <w:t>ways</w:t>
      </w:r>
      <w:r>
        <w:rPr>
          <w:i/>
          <w:spacing w:val="-7"/>
        </w:rPr>
        <w:t xml:space="preserve"> </w:t>
      </w:r>
      <w:r>
        <w:rPr>
          <w:i/>
        </w:rPr>
        <w:t>that</w:t>
      </w:r>
      <w:r>
        <w:rPr>
          <w:i/>
          <w:spacing w:val="-6"/>
        </w:rPr>
        <w:t xml:space="preserve"> </w:t>
      </w:r>
      <w:r>
        <w:rPr>
          <w:i/>
        </w:rPr>
        <w:t>shaped</w:t>
      </w:r>
      <w:r>
        <w:rPr>
          <w:i/>
          <w:spacing w:val="-5"/>
        </w:rPr>
        <w:t xml:space="preserve"> </w:t>
      </w:r>
      <w:r>
        <w:rPr>
          <w:i/>
        </w:rPr>
        <w:t xml:space="preserve">standards, linked </w:t>
      </w:r>
      <w:proofErr w:type="spellStart"/>
      <w:r>
        <w:rPr>
          <w:i/>
        </w:rPr>
        <w:t>organisations</w:t>
      </w:r>
      <w:proofErr w:type="spellEnd"/>
      <w:r>
        <w:rPr>
          <w:i/>
        </w:rPr>
        <w:t xml:space="preserve"> and aligned skills supply with employer demands, and facilitated innovative</w:t>
      </w:r>
      <w:r>
        <w:rPr>
          <w:i/>
          <w:spacing w:val="-8"/>
        </w:rPr>
        <w:t xml:space="preserve"> </w:t>
      </w:r>
      <w:r>
        <w:rPr>
          <w:i/>
        </w:rPr>
        <w:t>teaching</w:t>
      </w:r>
      <w:r>
        <w:rPr>
          <w:i/>
          <w:spacing w:val="-13"/>
        </w:rPr>
        <w:t xml:space="preserve"> </w:t>
      </w:r>
      <w:r>
        <w:rPr>
          <w:i/>
        </w:rPr>
        <w:t>practice.</w:t>
      </w:r>
      <w:r>
        <w:rPr>
          <w:i/>
          <w:spacing w:val="-9"/>
        </w:rPr>
        <w:t xml:space="preserve"> </w:t>
      </w:r>
      <w:r>
        <w:rPr>
          <w:i/>
        </w:rPr>
        <w:t>All</w:t>
      </w:r>
      <w:r>
        <w:rPr>
          <w:i/>
          <w:spacing w:val="-11"/>
        </w:rPr>
        <w:t xml:space="preserve"> </w:t>
      </w:r>
      <w:r>
        <w:rPr>
          <w:i/>
        </w:rPr>
        <w:t>of</w:t>
      </w:r>
      <w:r>
        <w:rPr>
          <w:i/>
          <w:spacing w:val="-9"/>
        </w:rPr>
        <w:t xml:space="preserve"> </w:t>
      </w:r>
      <w:r>
        <w:rPr>
          <w:i/>
        </w:rPr>
        <w:t>this</w:t>
      </w:r>
      <w:r>
        <w:rPr>
          <w:i/>
          <w:spacing w:val="-10"/>
        </w:rPr>
        <w:t xml:space="preserve"> </w:t>
      </w:r>
      <w:r>
        <w:rPr>
          <w:i/>
        </w:rPr>
        <w:t>could</w:t>
      </w:r>
      <w:r>
        <w:rPr>
          <w:i/>
          <w:spacing w:val="-13"/>
        </w:rPr>
        <w:t xml:space="preserve"> </w:t>
      </w:r>
      <w:r>
        <w:rPr>
          <w:i/>
        </w:rPr>
        <w:t>be</w:t>
      </w:r>
      <w:r>
        <w:rPr>
          <w:i/>
          <w:spacing w:val="-8"/>
        </w:rPr>
        <w:t xml:space="preserve"> </w:t>
      </w:r>
      <w:r>
        <w:rPr>
          <w:i/>
        </w:rPr>
        <w:t>seen</w:t>
      </w:r>
      <w:r>
        <w:rPr>
          <w:i/>
          <w:spacing w:val="-8"/>
        </w:rPr>
        <w:t xml:space="preserve"> </w:t>
      </w:r>
      <w:r>
        <w:rPr>
          <w:i/>
        </w:rPr>
        <w:t>as</w:t>
      </w:r>
      <w:r>
        <w:rPr>
          <w:i/>
          <w:spacing w:val="-15"/>
        </w:rPr>
        <w:t xml:space="preserve"> </w:t>
      </w:r>
      <w:r>
        <w:rPr>
          <w:i/>
        </w:rPr>
        <w:t>underpinning</w:t>
      </w:r>
      <w:r>
        <w:rPr>
          <w:i/>
          <w:spacing w:val="-8"/>
        </w:rPr>
        <w:t xml:space="preserve"> </w:t>
      </w:r>
      <w:r>
        <w:rPr>
          <w:i/>
        </w:rPr>
        <w:t>the</w:t>
      </w:r>
      <w:r>
        <w:rPr>
          <w:i/>
          <w:spacing w:val="-13"/>
        </w:rPr>
        <w:t xml:space="preserve"> </w:t>
      </w:r>
      <w:r>
        <w:rPr>
          <w:i/>
        </w:rPr>
        <w:t>growing</w:t>
      </w:r>
      <w:r>
        <w:rPr>
          <w:i/>
          <w:spacing w:val="-8"/>
        </w:rPr>
        <w:t xml:space="preserve"> </w:t>
      </w:r>
      <w:r>
        <w:rPr>
          <w:i/>
        </w:rPr>
        <w:t xml:space="preserve">dominance of </w:t>
      </w:r>
      <w:proofErr w:type="spellStart"/>
      <w:r>
        <w:rPr>
          <w:i/>
        </w:rPr>
        <w:t>conceptualising</w:t>
      </w:r>
      <w:proofErr w:type="spellEnd"/>
      <w:r>
        <w:rPr>
          <w:i/>
        </w:rPr>
        <w:t xml:space="preserve"> skills systems in terms of skills economies, enhanced productivity, and economic growth</w:t>
      </w:r>
    </w:p>
    <w:p w14:paraId="50AB11C1" w14:textId="77777777" w:rsidR="000E61B1" w:rsidRDefault="00000000">
      <w:pPr>
        <w:spacing w:before="158" w:line="259" w:lineRule="auto"/>
        <w:ind w:left="220" w:right="212"/>
        <w:jc w:val="both"/>
      </w:pPr>
      <w:r>
        <w:rPr>
          <w:i/>
        </w:rPr>
        <w:t>WorldSkills could be seen as operating in a kind of ‘third space’, sitting between formal education/training and the workplace. This operated as a safe space were trainers and trainees could experiment with skills, processes, and pedagogy, while also providing a bridging mechanism to bring work-based innovations and developments into the training process in a way</w:t>
      </w:r>
      <w:r>
        <w:rPr>
          <w:i/>
          <w:spacing w:val="-2"/>
        </w:rPr>
        <w:t xml:space="preserve"> </w:t>
      </w:r>
      <w:r>
        <w:rPr>
          <w:i/>
        </w:rPr>
        <w:t>that could respond to emerging technological</w:t>
      </w:r>
      <w:r>
        <w:rPr>
          <w:i/>
          <w:spacing w:val="-2"/>
        </w:rPr>
        <w:t xml:space="preserve"> </w:t>
      </w:r>
      <w:r>
        <w:rPr>
          <w:i/>
        </w:rPr>
        <w:t>changes</w:t>
      </w:r>
      <w:r>
        <w:rPr>
          <w:i/>
          <w:spacing w:val="-1"/>
        </w:rPr>
        <w:t xml:space="preserve"> </w:t>
      </w:r>
      <w:r>
        <w:rPr>
          <w:i/>
        </w:rPr>
        <w:t xml:space="preserve">and shifting industry </w:t>
      </w:r>
      <w:r>
        <w:rPr>
          <w:i/>
          <w:spacing w:val="-2"/>
        </w:rPr>
        <w:t>practices</w:t>
      </w:r>
      <w:r>
        <w:rPr>
          <w:spacing w:val="-2"/>
        </w:rPr>
        <w:t>.</w:t>
      </w:r>
    </w:p>
    <w:p w14:paraId="4DD506F5" w14:textId="77777777" w:rsidR="000E61B1" w:rsidRDefault="000E61B1">
      <w:pPr>
        <w:pStyle w:val="BodyText"/>
        <w:rPr>
          <w:sz w:val="24"/>
        </w:rPr>
      </w:pPr>
    </w:p>
    <w:p w14:paraId="0078C9C9" w14:textId="77777777" w:rsidR="000E61B1" w:rsidRDefault="000E61B1">
      <w:pPr>
        <w:pStyle w:val="BodyText"/>
        <w:spacing w:before="7"/>
        <w:rPr>
          <w:sz w:val="27"/>
        </w:rPr>
      </w:pPr>
    </w:p>
    <w:p w14:paraId="34E1E343" w14:textId="77777777" w:rsidR="000E61B1" w:rsidRDefault="00000000">
      <w:pPr>
        <w:spacing w:line="259" w:lineRule="auto"/>
        <w:ind w:left="220" w:right="211"/>
        <w:jc w:val="both"/>
        <w:rPr>
          <w:b/>
        </w:rPr>
      </w:pPr>
      <w:r>
        <w:t>The report ‘</w:t>
      </w:r>
      <w:r>
        <w:rPr>
          <w:i/>
        </w:rPr>
        <w:t>Institutional Approaches to Curriculum Design’</w:t>
      </w:r>
      <w:r>
        <w:rPr>
          <w:i/>
          <w:vertAlign w:val="superscript"/>
        </w:rPr>
        <w:t>11</w:t>
      </w:r>
      <w:r>
        <w:rPr>
          <w:i/>
        </w:rPr>
        <w:t xml:space="preserve"> </w:t>
      </w:r>
      <w:r>
        <w:t xml:space="preserve">from the College Development Network, completed in June 2022, seeks to provide an insight </w:t>
      </w:r>
      <w:r>
        <w:rPr>
          <w:b/>
        </w:rPr>
        <w:t>into good practice when shaping curriculum design from within a variety of vocational areas</w:t>
      </w:r>
    </w:p>
    <w:p w14:paraId="58D84081" w14:textId="77777777" w:rsidR="000E61B1" w:rsidRDefault="00000000">
      <w:pPr>
        <w:pStyle w:val="BodyText"/>
        <w:spacing w:before="159" w:line="259" w:lineRule="auto"/>
        <w:ind w:left="220" w:right="209"/>
        <w:jc w:val="both"/>
        <w:rPr>
          <w:b/>
        </w:rPr>
      </w:pPr>
      <w:r>
        <w:t xml:space="preserve">The focus groups for this action research project, were conducted in February/March 2022 and consisted of lecturers, managers and senior managers working across the </w:t>
      </w:r>
      <w:r>
        <w:rPr>
          <w:b/>
        </w:rPr>
        <w:t>Scottish college sector.</w:t>
      </w:r>
    </w:p>
    <w:p w14:paraId="7B2F7EEC" w14:textId="77777777" w:rsidR="000E61B1" w:rsidRDefault="00000000">
      <w:pPr>
        <w:spacing w:before="160" w:line="259" w:lineRule="auto"/>
        <w:ind w:left="220" w:right="210"/>
        <w:jc w:val="both"/>
        <w:rPr>
          <w:b/>
        </w:rPr>
      </w:pPr>
      <w:r>
        <w:t>The</w:t>
      </w:r>
      <w:r>
        <w:rPr>
          <w:spacing w:val="-3"/>
        </w:rPr>
        <w:t xml:space="preserve"> </w:t>
      </w:r>
      <w:r>
        <w:t>report</w:t>
      </w:r>
      <w:r>
        <w:rPr>
          <w:spacing w:val="-4"/>
        </w:rPr>
        <w:t xml:space="preserve"> </w:t>
      </w:r>
      <w:r>
        <w:t>contains</w:t>
      </w:r>
      <w:r>
        <w:rPr>
          <w:spacing w:val="-10"/>
        </w:rPr>
        <w:t xml:space="preserve"> </w:t>
      </w:r>
      <w:r>
        <w:t>numerous</w:t>
      </w:r>
      <w:r>
        <w:rPr>
          <w:spacing w:val="-10"/>
        </w:rPr>
        <w:t xml:space="preserve"> </w:t>
      </w:r>
      <w:r>
        <w:t>principles</w:t>
      </w:r>
      <w:r>
        <w:rPr>
          <w:spacing w:val="-5"/>
        </w:rPr>
        <w:t xml:space="preserve"> </w:t>
      </w:r>
      <w:r>
        <w:t>that</w:t>
      </w:r>
      <w:r>
        <w:rPr>
          <w:spacing w:val="-4"/>
        </w:rPr>
        <w:t xml:space="preserve"> </w:t>
      </w:r>
      <w:r>
        <w:t>will</w:t>
      </w:r>
      <w:r>
        <w:rPr>
          <w:spacing w:val="-6"/>
        </w:rPr>
        <w:t xml:space="preserve"> </w:t>
      </w:r>
      <w:r>
        <w:t>be</w:t>
      </w:r>
      <w:r>
        <w:rPr>
          <w:spacing w:val="-3"/>
        </w:rPr>
        <w:t xml:space="preserve"> </w:t>
      </w:r>
      <w:r>
        <w:t>of</w:t>
      </w:r>
      <w:r>
        <w:rPr>
          <w:spacing w:val="-4"/>
        </w:rPr>
        <w:t xml:space="preserve"> </w:t>
      </w:r>
      <w:r>
        <w:t>interest</w:t>
      </w:r>
      <w:r>
        <w:rPr>
          <w:spacing w:val="-4"/>
        </w:rPr>
        <w:t xml:space="preserve"> </w:t>
      </w:r>
      <w:r>
        <w:t>to</w:t>
      </w:r>
      <w:r>
        <w:rPr>
          <w:spacing w:val="-3"/>
        </w:rPr>
        <w:t xml:space="preserve"> </w:t>
      </w:r>
      <w:r>
        <w:t>curriculum</w:t>
      </w:r>
      <w:r>
        <w:rPr>
          <w:spacing w:val="-2"/>
        </w:rPr>
        <w:t xml:space="preserve"> </w:t>
      </w:r>
      <w:r>
        <w:t>planners.</w:t>
      </w:r>
      <w:r>
        <w:rPr>
          <w:spacing w:val="-4"/>
        </w:rPr>
        <w:t xml:space="preserve"> </w:t>
      </w:r>
      <w:r>
        <w:t>Two</w:t>
      </w:r>
      <w:r>
        <w:rPr>
          <w:spacing w:val="-3"/>
        </w:rPr>
        <w:t xml:space="preserve"> </w:t>
      </w:r>
      <w:r>
        <w:t xml:space="preserve">of those themes are </w:t>
      </w:r>
      <w:proofErr w:type="spellStart"/>
      <w:r>
        <w:t>summarised</w:t>
      </w:r>
      <w:proofErr w:type="spellEnd"/>
      <w:r>
        <w:t xml:space="preserve"> here: </w:t>
      </w:r>
      <w:r>
        <w:rPr>
          <w:b/>
        </w:rPr>
        <w:t xml:space="preserve">Project-Based Learning (PBL) and a </w:t>
      </w:r>
      <w:proofErr w:type="spellStart"/>
      <w:r>
        <w:rPr>
          <w:b/>
        </w:rPr>
        <w:t>personalised</w:t>
      </w:r>
      <w:proofErr w:type="spellEnd"/>
      <w:r>
        <w:rPr>
          <w:b/>
        </w:rPr>
        <w:t xml:space="preserve"> </w:t>
      </w:r>
      <w:r>
        <w:rPr>
          <w:b/>
          <w:spacing w:val="-2"/>
        </w:rPr>
        <w:t>curriculum.</w:t>
      </w:r>
    </w:p>
    <w:p w14:paraId="68251506" w14:textId="77777777" w:rsidR="000E61B1" w:rsidRDefault="00000000">
      <w:pPr>
        <w:spacing w:before="160" w:line="259" w:lineRule="auto"/>
        <w:ind w:left="220" w:right="214"/>
        <w:jc w:val="both"/>
        <w:rPr>
          <w:i/>
        </w:rPr>
      </w:pPr>
      <w:r>
        <w:rPr>
          <w:b/>
          <w:i/>
        </w:rPr>
        <w:t>Project-Based</w:t>
      </w:r>
      <w:r>
        <w:rPr>
          <w:b/>
          <w:i/>
          <w:spacing w:val="-12"/>
        </w:rPr>
        <w:t xml:space="preserve"> </w:t>
      </w:r>
      <w:r>
        <w:rPr>
          <w:b/>
          <w:i/>
        </w:rPr>
        <w:t>Learning.</w:t>
      </w:r>
      <w:r>
        <w:rPr>
          <w:b/>
          <w:i/>
          <w:spacing w:val="40"/>
        </w:rPr>
        <w:t xml:space="preserve"> </w:t>
      </w:r>
      <w:r>
        <w:rPr>
          <w:i/>
        </w:rPr>
        <w:t>Participants</w:t>
      </w:r>
      <w:r>
        <w:rPr>
          <w:i/>
          <w:spacing w:val="-12"/>
        </w:rPr>
        <w:t xml:space="preserve"> </w:t>
      </w:r>
      <w:r>
        <w:rPr>
          <w:i/>
        </w:rPr>
        <w:t>expressed</w:t>
      </w:r>
      <w:r>
        <w:rPr>
          <w:i/>
          <w:spacing w:val="-15"/>
        </w:rPr>
        <w:t xml:space="preserve"> </w:t>
      </w:r>
      <w:r>
        <w:rPr>
          <w:i/>
        </w:rPr>
        <w:t>a</w:t>
      </w:r>
      <w:r>
        <w:rPr>
          <w:i/>
          <w:spacing w:val="-10"/>
        </w:rPr>
        <w:t xml:space="preserve"> </w:t>
      </w:r>
      <w:r>
        <w:rPr>
          <w:i/>
        </w:rPr>
        <w:t>desire</w:t>
      </w:r>
      <w:r>
        <w:rPr>
          <w:i/>
          <w:spacing w:val="-10"/>
        </w:rPr>
        <w:t xml:space="preserve"> </w:t>
      </w:r>
      <w:r>
        <w:rPr>
          <w:i/>
        </w:rPr>
        <w:t>to</w:t>
      </w:r>
      <w:r>
        <w:rPr>
          <w:i/>
          <w:spacing w:val="-10"/>
        </w:rPr>
        <w:t xml:space="preserve"> </w:t>
      </w:r>
      <w:r>
        <w:rPr>
          <w:i/>
        </w:rPr>
        <w:t>increase</w:t>
      </w:r>
      <w:r>
        <w:rPr>
          <w:i/>
          <w:spacing w:val="-10"/>
        </w:rPr>
        <w:t xml:space="preserve"> </w:t>
      </w:r>
      <w:r>
        <w:rPr>
          <w:i/>
        </w:rPr>
        <w:t>the</w:t>
      </w:r>
      <w:r>
        <w:rPr>
          <w:i/>
          <w:spacing w:val="-10"/>
        </w:rPr>
        <w:t xml:space="preserve"> </w:t>
      </w:r>
      <w:r>
        <w:rPr>
          <w:i/>
        </w:rPr>
        <w:t>volume</w:t>
      </w:r>
      <w:r>
        <w:rPr>
          <w:i/>
          <w:spacing w:val="-10"/>
        </w:rPr>
        <w:t xml:space="preserve"> </w:t>
      </w:r>
      <w:r>
        <w:rPr>
          <w:i/>
        </w:rPr>
        <w:t>and</w:t>
      </w:r>
      <w:r>
        <w:rPr>
          <w:i/>
          <w:spacing w:val="-10"/>
        </w:rPr>
        <w:t xml:space="preserve"> </w:t>
      </w:r>
      <w:r>
        <w:rPr>
          <w:i/>
        </w:rPr>
        <w:t>quality of</w:t>
      </w:r>
      <w:r>
        <w:rPr>
          <w:i/>
          <w:spacing w:val="-6"/>
        </w:rPr>
        <w:t xml:space="preserve"> </w:t>
      </w:r>
      <w:r>
        <w:rPr>
          <w:i/>
        </w:rPr>
        <w:t>project-based</w:t>
      </w:r>
      <w:r>
        <w:rPr>
          <w:i/>
          <w:spacing w:val="-1"/>
        </w:rPr>
        <w:t xml:space="preserve"> </w:t>
      </w:r>
      <w:r>
        <w:rPr>
          <w:i/>
        </w:rPr>
        <w:t>learning</w:t>
      </w:r>
      <w:r>
        <w:rPr>
          <w:i/>
          <w:spacing w:val="-5"/>
        </w:rPr>
        <w:t xml:space="preserve"> </w:t>
      </w:r>
      <w:r>
        <w:rPr>
          <w:i/>
        </w:rPr>
        <w:t>(PBL)</w:t>
      </w:r>
      <w:r>
        <w:rPr>
          <w:i/>
          <w:spacing w:val="-8"/>
        </w:rPr>
        <w:t xml:space="preserve"> </w:t>
      </w:r>
      <w:r>
        <w:rPr>
          <w:i/>
        </w:rPr>
        <w:t>as</w:t>
      </w:r>
      <w:r>
        <w:rPr>
          <w:i/>
          <w:spacing w:val="-7"/>
        </w:rPr>
        <w:t xml:space="preserve"> </w:t>
      </w:r>
      <w:r>
        <w:rPr>
          <w:i/>
        </w:rPr>
        <w:t>an</w:t>
      </w:r>
      <w:r>
        <w:rPr>
          <w:i/>
          <w:spacing w:val="-5"/>
        </w:rPr>
        <w:t xml:space="preserve"> </w:t>
      </w:r>
      <w:r>
        <w:rPr>
          <w:i/>
        </w:rPr>
        <w:t>underpinning</w:t>
      </w:r>
      <w:r>
        <w:rPr>
          <w:i/>
          <w:spacing w:val="-5"/>
        </w:rPr>
        <w:t xml:space="preserve"> </w:t>
      </w:r>
      <w:r>
        <w:rPr>
          <w:i/>
        </w:rPr>
        <w:t>principle</w:t>
      </w:r>
      <w:r>
        <w:rPr>
          <w:i/>
          <w:spacing w:val="-5"/>
        </w:rPr>
        <w:t xml:space="preserve"> </w:t>
      </w:r>
      <w:r>
        <w:rPr>
          <w:i/>
        </w:rPr>
        <w:t>of</w:t>
      </w:r>
      <w:r>
        <w:rPr>
          <w:i/>
          <w:spacing w:val="-6"/>
        </w:rPr>
        <w:t xml:space="preserve"> </w:t>
      </w:r>
      <w:r>
        <w:rPr>
          <w:i/>
        </w:rPr>
        <w:t>future</w:t>
      </w:r>
      <w:r>
        <w:rPr>
          <w:i/>
          <w:spacing w:val="-5"/>
        </w:rPr>
        <w:t xml:space="preserve"> </w:t>
      </w:r>
      <w:r>
        <w:rPr>
          <w:i/>
        </w:rPr>
        <w:t>curriculum</w:t>
      </w:r>
      <w:r>
        <w:rPr>
          <w:i/>
          <w:spacing w:val="-8"/>
        </w:rPr>
        <w:t xml:space="preserve"> </w:t>
      </w:r>
      <w:r>
        <w:rPr>
          <w:i/>
        </w:rPr>
        <w:t>design.</w:t>
      </w:r>
      <w:r>
        <w:rPr>
          <w:i/>
          <w:spacing w:val="-1"/>
        </w:rPr>
        <w:t xml:space="preserve"> </w:t>
      </w:r>
      <w:r>
        <w:rPr>
          <w:i/>
        </w:rPr>
        <w:t>This mirrors</w:t>
      </w:r>
      <w:r>
        <w:rPr>
          <w:i/>
          <w:spacing w:val="-7"/>
        </w:rPr>
        <w:t xml:space="preserve"> </w:t>
      </w:r>
      <w:r>
        <w:rPr>
          <w:i/>
        </w:rPr>
        <w:t>the</w:t>
      </w:r>
      <w:r>
        <w:rPr>
          <w:i/>
          <w:spacing w:val="-14"/>
        </w:rPr>
        <w:t xml:space="preserve"> </w:t>
      </w:r>
      <w:r>
        <w:rPr>
          <w:i/>
        </w:rPr>
        <w:t>development</w:t>
      </w:r>
      <w:r>
        <w:rPr>
          <w:i/>
          <w:spacing w:val="-10"/>
        </w:rPr>
        <w:t xml:space="preserve"> </w:t>
      </w:r>
      <w:r>
        <w:rPr>
          <w:i/>
        </w:rPr>
        <w:t>of</w:t>
      </w:r>
      <w:r>
        <w:rPr>
          <w:i/>
          <w:spacing w:val="-10"/>
        </w:rPr>
        <w:t xml:space="preserve"> </w:t>
      </w:r>
      <w:r>
        <w:rPr>
          <w:i/>
        </w:rPr>
        <w:t>SQA</w:t>
      </w:r>
      <w:r>
        <w:rPr>
          <w:i/>
          <w:spacing w:val="-6"/>
        </w:rPr>
        <w:t xml:space="preserve"> </w:t>
      </w:r>
      <w:r>
        <w:rPr>
          <w:i/>
        </w:rPr>
        <w:t>NextGen</w:t>
      </w:r>
      <w:r>
        <w:rPr>
          <w:i/>
          <w:spacing w:val="-5"/>
        </w:rPr>
        <w:t xml:space="preserve"> </w:t>
      </w:r>
      <w:r>
        <w:rPr>
          <w:i/>
        </w:rPr>
        <w:t>HN</w:t>
      </w:r>
      <w:r>
        <w:rPr>
          <w:i/>
          <w:spacing w:val="-12"/>
        </w:rPr>
        <w:t xml:space="preserve"> </w:t>
      </w:r>
      <w:r>
        <w:rPr>
          <w:i/>
        </w:rPr>
        <w:t>courses</w:t>
      </w:r>
      <w:r>
        <w:rPr>
          <w:i/>
          <w:spacing w:val="-7"/>
        </w:rPr>
        <w:t xml:space="preserve"> </w:t>
      </w:r>
      <w:r>
        <w:rPr>
          <w:i/>
        </w:rPr>
        <w:t>which</w:t>
      </w:r>
      <w:r>
        <w:rPr>
          <w:i/>
          <w:spacing w:val="-9"/>
        </w:rPr>
        <w:t xml:space="preserve"> </w:t>
      </w:r>
      <w:r>
        <w:rPr>
          <w:i/>
        </w:rPr>
        <w:t>encourages</w:t>
      </w:r>
      <w:r>
        <w:rPr>
          <w:i/>
          <w:spacing w:val="-11"/>
        </w:rPr>
        <w:t xml:space="preserve"> </w:t>
      </w:r>
      <w:r>
        <w:rPr>
          <w:i/>
        </w:rPr>
        <w:t>the</w:t>
      </w:r>
      <w:r>
        <w:rPr>
          <w:i/>
          <w:spacing w:val="-9"/>
        </w:rPr>
        <w:t xml:space="preserve"> </w:t>
      </w:r>
      <w:r>
        <w:rPr>
          <w:i/>
        </w:rPr>
        <w:t>adoption</w:t>
      </w:r>
      <w:r>
        <w:rPr>
          <w:i/>
          <w:spacing w:val="-9"/>
        </w:rPr>
        <w:t xml:space="preserve"> </w:t>
      </w:r>
      <w:r>
        <w:rPr>
          <w:i/>
        </w:rPr>
        <w:t>of</w:t>
      </w:r>
      <w:r>
        <w:rPr>
          <w:i/>
          <w:spacing w:val="-10"/>
        </w:rPr>
        <w:t xml:space="preserve"> </w:t>
      </w:r>
      <w:r>
        <w:rPr>
          <w:i/>
        </w:rPr>
        <w:t>PBL</w:t>
      </w:r>
    </w:p>
    <w:p w14:paraId="71A47998" w14:textId="77777777" w:rsidR="000E61B1" w:rsidRDefault="00000000">
      <w:pPr>
        <w:pStyle w:val="BodyText"/>
        <w:spacing w:before="10"/>
        <w:rPr>
          <w:i/>
          <w:sz w:val="18"/>
        </w:rPr>
      </w:pPr>
      <w:r>
        <w:pict w14:anchorId="75C85419">
          <v:rect id="docshape6" o:spid="_x0000_s2056" style="position:absolute;margin-left:1in;margin-top:12.1pt;width:144.05pt;height:.7pt;z-index:-15726080;mso-wrap-distance-left:0;mso-wrap-distance-right:0;mso-position-horizontal-relative:page" fillcolor="black" stroked="f">
            <w10:wrap type="topAndBottom" anchorx="page"/>
          </v:rect>
        </w:pict>
      </w:r>
    </w:p>
    <w:p w14:paraId="4DD9A412" w14:textId="77777777" w:rsidR="000E61B1" w:rsidRDefault="00000000">
      <w:pPr>
        <w:pStyle w:val="BodyText"/>
        <w:spacing w:before="102"/>
        <w:ind w:left="220"/>
      </w:pPr>
      <w:r>
        <w:rPr>
          <w:rFonts w:ascii="Calibri"/>
          <w:vertAlign w:val="superscript"/>
        </w:rPr>
        <w:t>11</w:t>
      </w:r>
      <w:r>
        <w:rPr>
          <w:rFonts w:ascii="Calibri"/>
          <w:spacing w:val="32"/>
        </w:rPr>
        <w:t xml:space="preserve"> </w:t>
      </w:r>
      <w:hyperlink r:id="rId50">
        <w:r>
          <w:rPr>
            <w:color w:val="0000FF"/>
            <w:u w:val="single" w:color="0000FF"/>
          </w:rPr>
          <w:t>Instituitional-Approaches-to-Curriculum-Design.pdf</w:t>
        </w:r>
        <w:r>
          <w:rPr>
            <w:color w:val="0000FF"/>
            <w:spacing w:val="-14"/>
            <w:u w:val="single" w:color="0000FF"/>
          </w:rPr>
          <w:t xml:space="preserve"> </w:t>
        </w:r>
        <w:r>
          <w:rPr>
            <w:color w:val="0000FF"/>
            <w:spacing w:val="-2"/>
            <w:u w:val="single" w:color="0000FF"/>
          </w:rPr>
          <w:t>(cdn.ac.uk)</w:t>
        </w:r>
      </w:hyperlink>
    </w:p>
    <w:p w14:paraId="31781717" w14:textId="77777777" w:rsidR="000E61B1" w:rsidRDefault="000E61B1">
      <w:pPr>
        <w:sectPr w:rsidR="000E61B1">
          <w:pgSz w:w="11910" w:h="16840"/>
          <w:pgMar w:top="1400" w:right="1220" w:bottom="280" w:left="1220" w:header="708" w:footer="0" w:gutter="0"/>
          <w:cols w:space="720"/>
        </w:sectPr>
      </w:pPr>
    </w:p>
    <w:p w14:paraId="671A8AF2" w14:textId="77777777" w:rsidR="000E61B1" w:rsidRDefault="00000000">
      <w:pPr>
        <w:spacing w:before="30" w:line="259" w:lineRule="auto"/>
        <w:ind w:left="220" w:right="213"/>
        <w:jc w:val="both"/>
        <w:rPr>
          <w:i/>
        </w:rPr>
      </w:pPr>
      <w:r>
        <w:rPr>
          <w:i/>
        </w:rPr>
        <w:lastRenderedPageBreak/>
        <w:t>as a central theme. Effective PBL may be cross-curricular as well as cross-level, providing learners</w:t>
      </w:r>
      <w:r>
        <w:rPr>
          <w:i/>
          <w:spacing w:val="-2"/>
        </w:rPr>
        <w:t xml:space="preserve"> </w:t>
      </w:r>
      <w:r>
        <w:rPr>
          <w:i/>
        </w:rPr>
        <w:t>with</w:t>
      </w:r>
      <w:r>
        <w:rPr>
          <w:i/>
          <w:spacing w:val="-5"/>
        </w:rPr>
        <w:t xml:space="preserve"> </w:t>
      </w:r>
      <w:r>
        <w:rPr>
          <w:i/>
        </w:rPr>
        <w:t>numerous</w:t>
      </w:r>
      <w:r>
        <w:rPr>
          <w:i/>
          <w:spacing w:val="-11"/>
        </w:rPr>
        <w:t xml:space="preserve"> </w:t>
      </w:r>
      <w:r>
        <w:rPr>
          <w:i/>
        </w:rPr>
        <w:t>opportunities to</w:t>
      </w:r>
      <w:r>
        <w:rPr>
          <w:i/>
          <w:spacing w:val="-5"/>
        </w:rPr>
        <w:t xml:space="preserve"> </w:t>
      </w:r>
      <w:r>
        <w:rPr>
          <w:i/>
        </w:rPr>
        <w:t>develop</w:t>
      </w:r>
      <w:r>
        <w:rPr>
          <w:i/>
          <w:spacing w:val="-5"/>
        </w:rPr>
        <w:t xml:space="preserve"> </w:t>
      </w:r>
      <w:r>
        <w:rPr>
          <w:i/>
        </w:rPr>
        <w:t>skills.</w:t>
      </w:r>
      <w:r>
        <w:rPr>
          <w:i/>
          <w:spacing w:val="-1"/>
        </w:rPr>
        <w:t xml:space="preserve"> </w:t>
      </w:r>
      <w:r>
        <w:rPr>
          <w:i/>
        </w:rPr>
        <w:t>It</w:t>
      </w:r>
      <w:r>
        <w:rPr>
          <w:i/>
          <w:spacing w:val="-6"/>
        </w:rPr>
        <w:t xml:space="preserve"> </w:t>
      </w:r>
      <w:r>
        <w:rPr>
          <w:i/>
        </w:rPr>
        <w:t>is</w:t>
      </w:r>
      <w:r>
        <w:rPr>
          <w:i/>
          <w:spacing w:val="-7"/>
        </w:rPr>
        <w:t xml:space="preserve"> </w:t>
      </w:r>
      <w:r>
        <w:rPr>
          <w:i/>
        </w:rPr>
        <w:t>also</w:t>
      </w:r>
      <w:r>
        <w:rPr>
          <w:i/>
          <w:spacing w:val="-5"/>
        </w:rPr>
        <w:t xml:space="preserve"> </w:t>
      </w:r>
      <w:r>
        <w:rPr>
          <w:i/>
        </w:rPr>
        <w:t>essential</w:t>
      </w:r>
      <w:r>
        <w:rPr>
          <w:i/>
          <w:spacing w:val="-8"/>
        </w:rPr>
        <w:t xml:space="preserve"> </w:t>
      </w:r>
      <w:r>
        <w:rPr>
          <w:i/>
        </w:rPr>
        <w:t>to</w:t>
      </w:r>
      <w:r>
        <w:rPr>
          <w:i/>
          <w:spacing w:val="-5"/>
        </w:rPr>
        <w:t xml:space="preserve"> </w:t>
      </w:r>
      <w:proofErr w:type="spellStart"/>
      <w:r>
        <w:rPr>
          <w:i/>
        </w:rPr>
        <w:t>utilise</w:t>
      </w:r>
      <w:proofErr w:type="spellEnd"/>
      <w:r>
        <w:rPr>
          <w:i/>
          <w:spacing w:val="-5"/>
        </w:rPr>
        <w:t xml:space="preserve"> </w:t>
      </w:r>
      <w:r>
        <w:rPr>
          <w:i/>
        </w:rPr>
        <w:t>the</w:t>
      </w:r>
      <w:r>
        <w:rPr>
          <w:i/>
          <w:spacing w:val="-1"/>
        </w:rPr>
        <w:t xml:space="preserve"> </w:t>
      </w:r>
      <w:r>
        <w:rPr>
          <w:i/>
        </w:rPr>
        <w:t>shared knowledge base available across curriculum areas. Benefits outlined by participants of effective PBL include:</w:t>
      </w:r>
    </w:p>
    <w:p w14:paraId="00514B99" w14:textId="77777777" w:rsidR="000E61B1" w:rsidRDefault="00000000">
      <w:pPr>
        <w:pStyle w:val="ListParagraph"/>
        <w:numPr>
          <w:ilvl w:val="0"/>
          <w:numId w:val="1"/>
        </w:numPr>
        <w:tabs>
          <w:tab w:val="left" w:pos="940"/>
          <w:tab w:val="left" w:pos="941"/>
        </w:tabs>
        <w:spacing w:before="160"/>
        <w:rPr>
          <w:rFonts w:ascii="Symbol" w:hAnsi="Symbol"/>
        </w:rPr>
      </w:pPr>
      <w:r>
        <w:rPr>
          <w:i/>
        </w:rPr>
        <w:t>Increased</w:t>
      </w:r>
      <w:r>
        <w:rPr>
          <w:i/>
          <w:spacing w:val="-8"/>
        </w:rPr>
        <w:t xml:space="preserve"> </w:t>
      </w:r>
      <w:r>
        <w:rPr>
          <w:i/>
          <w:spacing w:val="-2"/>
        </w:rPr>
        <w:t>engagement</w:t>
      </w:r>
    </w:p>
    <w:p w14:paraId="49CDCC5A" w14:textId="77777777" w:rsidR="000E61B1" w:rsidRDefault="00000000">
      <w:pPr>
        <w:pStyle w:val="ListParagraph"/>
        <w:numPr>
          <w:ilvl w:val="0"/>
          <w:numId w:val="1"/>
        </w:numPr>
        <w:tabs>
          <w:tab w:val="left" w:pos="940"/>
          <w:tab w:val="left" w:pos="941"/>
        </w:tabs>
        <w:spacing w:before="19"/>
        <w:rPr>
          <w:rFonts w:ascii="Symbol" w:hAnsi="Symbol"/>
        </w:rPr>
      </w:pPr>
      <w:r>
        <w:rPr>
          <w:i/>
        </w:rPr>
        <w:t>Greater</w:t>
      </w:r>
      <w:r>
        <w:rPr>
          <w:i/>
          <w:spacing w:val="-6"/>
        </w:rPr>
        <w:t xml:space="preserve"> </w:t>
      </w:r>
      <w:r>
        <w:rPr>
          <w:i/>
        </w:rPr>
        <w:t>relevance</w:t>
      </w:r>
      <w:r>
        <w:rPr>
          <w:i/>
          <w:spacing w:val="-6"/>
        </w:rPr>
        <w:t xml:space="preserve"> </w:t>
      </w:r>
      <w:r>
        <w:rPr>
          <w:i/>
        </w:rPr>
        <w:t>to</w:t>
      </w:r>
      <w:r>
        <w:rPr>
          <w:i/>
          <w:spacing w:val="-6"/>
        </w:rPr>
        <w:t xml:space="preserve"> </w:t>
      </w:r>
      <w:r>
        <w:rPr>
          <w:i/>
        </w:rPr>
        <w:t>industry</w:t>
      </w:r>
      <w:r>
        <w:rPr>
          <w:i/>
          <w:spacing w:val="-7"/>
        </w:rPr>
        <w:t xml:space="preserve"> </w:t>
      </w:r>
      <w:r>
        <w:rPr>
          <w:i/>
          <w:spacing w:val="-2"/>
        </w:rPr>
        <w:t>practice</w:t>
      </w:r>
    </w:p>
    <w:p w14:paraId="77257322" w14:textId="77777777" w:rsidR="000E61B1" w:rsidRDefault="00000000">
      <w:pPr>
        <w:pStyle w:val="ListParagraph"/>
        <w:numPr>
          <w:ilvl w:val="0"/>
          <w:numId w:val="1"/>
        </w:numPr>
        <w:tabs>
          <w:tab w:val="left" w:pos="940"/>
          <w:tab w:val="left" w:pos="941"/>
        </w:tabs>
        <w:spacing w:before="18"/>
        <w:rPr>
          <w:rFonts w:ascii="Symbol" w:hAnsi="Symbol"/>
        </w:rPr>
      </w:pPr>
      <w:r>
        <w:rPr>
          <w:i/>
        </w:rPr>
        <w:t>Enhanced</w:t>
      </w:r>
      <w:r>
        <w:rPr>
          <w:i/>
          <w:spacing w:val="-6"/>
        </w:rPr>
        <w:t xml:space="preserve"> </w:t>
      </w:r>
      <w:r>
        <w:rPr>
          <w:i/>
        </w:rPr>
        <w:t>opportunities</w:t>
      </w:r>
      <w:r>
        <w:rPr>
          <w:i/>
          <w:spacing w:val="-10"/>
        </w:rPr>
        <w:t xml:space="preserve"> </w:t>
      </w:r>
      <w:r>
        <w:rPr>
          <w:i/>
        </w:rPr>
        <w:t>for</w:t>
      </w:r>
      <w:r>
        <w:rPr>
          <w:i/>
          <w:spacing w:val="-8"/>
        </w:rPr>
        <w:t xml:space="preserve"> </w:t>
      </w:r>
      <w:r>
        <w:rPr>
          <w:i/>
        </w:rPr>
        <w:t>collaboration</w:t>
      </w:r>
      <w:r>
        <w:rPr>
          <w:i/>
          <w:spacing w:val="-5"/>
        </w:rPr>
        <w:t xml:space="preserve"> </w:t>
      </w:r>
      <w:r>
        <w:rPr>
          <w:i/>
        </w:rPr>
        <w:t>(both</w:t>
      </w:r>
      <w:r>
        <w:rPr>
          <w:i/>
          <w:spacing w:val="-9"/>
        </w:rPr>
        <w:t xml:space="preserve"> </w:t>
      </w:r>
      <w:r>
        <w:rPr>
          <w:i/>
        </w:rPr>
        <w:t>staff</w:t>
      </w:r>
      <w:r>
        <w:rPr>
          <w:i/>
          <w:spacing w:val="-5"/>
        </w:rPr>
        <w:t xml:space="preserve"> </w:t>
      </w:r>
      <w:r>
        <w:rPr>
          <w:i/>
        </w:rPr>
        <w:t>and</w:t>
      </w:r>
      <w:r>
        <w:rPr>
          <w:i/>
          <w:spacing w:val="-8"/>
        </w:rPr>
        <w:t xml:space="preserve"> </w:t>
      </w:r>
      <w:r>
        <w:rPr>
          <w:i/>
          <w:spacing w:val="-2"/>
        </w:rPr>
        <w:t>students)</w:t>
      </w:r>
    </w:p>
    <w:p w14:paraId="72BED0CA" w14:textId="77777777" w:rsidR="000E61B1" w:rsidRDefault="00000000">
      <w:pPr>
        <w:pStyle w:val="ListParagraph"/>
        <w:numPr>
          <w:ilvl w:val="0"/>
          <w:numId w:val="1"/>
        </w:numPr>
        <w:tabs>
          <w:tab w:val="left" w:pos="940"/>
          <w:tab w:val="left" w:pos="941"/>
        </w:tabs>
        <w:spacing w:before="19"/>
        <w:rPr>
          <w:rFonts w:ascii="Symbol" w:hAnsi="Symbol"/>
        </w:rPr>
      </w:pPr>
      <w:r>
        <w:rPr>
          <w:i/>
        </w:rPr>
        <w:t>More</w:t>
      </w:r>
      <w:r>
        <w:rPr>
          <w:i/>
          <w:spacing w:val="-2"/>
        </w:rPr>
        <w:t xml:space="preserve"> </w:t>
      </w:r>
      <w:r>
        <w:rPr>
          <w:i/>
        </w:rPr>
        <w:t>effective,</w:t>
      </w:r>
      <w:r>
        <w:rPr>
          <w:i/>
          <w:spacing w:val="-6"/>
        </w:rPr>
        <w:t xml:space="preserve"> </w:t>
      </w:r>
      <w:r>
        <w:rPr>
          <w:i/>
        </w:rPr>
        <w:t>timely</w:t>
      </w:r>
      <w:r>
        <w:rPr>
          <w:i/>
          <w:spacing w:val="-7"/>
        </w:rPr>
        <w:t xml:space="preserve"> </w:t>
      </w:r>
      <w:r>
        <w:rPr>
          <w:i/>
        </w:rPr>
        <w:t>feedback</w:t>
      </w:r>
      <w:r>
        <w:rPr>
          <w:i/>
          <w:spacing w:val="-2"/>
        </w:rPr>
        <w:t xml:space="preserve"> </w:t>
      </w:r>
      <w:r>
        <w:rPr>
          <w:i/>
        </w:rPr>
        <w:t>– with</w:t>
      </w:r>
      <w:r>
        <w:rPr>
          <w:i/>
          <w:spacing w:val="-5"/>
        </w:rPr>
        <w:t xml:space="preserve"> </w:t>
      </w:r>
      <w:r>
        <w:rPr>
          <w:i/>
        </w:rPr>
        <w:t>a</w:t>
      </w:r>
      <w:r>
        <w:rPr>
          <w:i/>
          <w:spacing w:val="-1"/>
        </w:rPr>
        <w:t xml:space="preserve"> </w:t>
      </w:r>
      <w:r>
        <w:rPr>
          <w:i/>
        </w:rPr>
        <w:t>real</w:t>
      </w:r>
      <w:r>
        <w:rPr>
          <w:i/>
          <w:spacing w:val="-4"/>
        </w:rPr>
        <w:t xml:space="preserve"> </w:t>
      </w:r>
      <w:r>
        <w:rPr>
          <w:i/>
        </w:rPr>
        <w:t>focus</w:t>
      </w:r>
      <w:r>
        <w:rPr>
          <w:i/>
          <w:spacing w:val="-6"/>
        </w:rPr>
        <w:t xml:space="preserve"> </w:t>
      </w:r>
      <w:r>
        <w:rPr>
          <w:i/>
        </w:rPr>
        <w:t>on</w:t>
      </w:r>
      <w:r>
        <w:rPr>
          <w:i/>
          <w:spacing w:val="-5"/>
        </w:rPr>
        <w:t xml:space="preserve"> </w:t>
      </w:r>
      <w:r>
        <w:rPr>
          <w:i/>
          <w:spacing w:val="-2"/>
        </w:rPr>
        <w:t>skills</w:t>
      </w:r>
    </w:p>
    <w:p w14:paraId="1D5CD5E3" w14:textId="77777777" w:rsidR="000E61B1" w:rsidRDefault="00000000">
      <w:pPr>
        <w:pStyle w:val="ListParagraph"/>
        <w:numPr>
          <w:ilvl w:val="0"/>
          <w:numId w:val="1"/>
        </w:numPr>
        <w:tabs>
          <w:tab w:val="left" w:pos="940"/>
          <w:tab w:val="left" w:pos="941"/>
        </w:tabs>
        <w:spacing w:before="19"/>
        <w:rPr>
          <w:rFonts w:ascii="Symbol" w:hAnsi="Symbol"/>
        </w:rPr>
      </w:pPr>
      <w:r>
        <w:rPr>
          <w:i/>
        </w:rPr>
        <w:t>Reduced</w:t>
      </w:r>
      <w:r>
        <w:rPr>
          <w:i/>
          <w:spacing w:val="-3"/>
        </w:rPr>
        <w:t xml:space="preserve"> </w:t>
      </w:r>
      <w:r>
        <w:rPr>
          <w:i/>
        </w:rPr>
        <w:t>assessment</w:t>
      </w:r>
      <w:r>
        <w:rPr>
          <w:i/>
          <w:spacing w:val="-7"/>
        </w:rPr>
        <w:t xml:space="preserve"> </w:t>
      </w:r>
      <w:r>
        <w:rPr>
          <w:i/>
        </w:rPr>
        <w:t>burden</w:t>
      </w:r>
      <w:r>
        <w:rPr>
          <w:i/>
          <w:spacing w:val="-5"/>
        </w:rPr>
        <w:t xml:space="preserve"> </w:t>
      </w:r>
      <w:r>
        <w:rPr>
          <w:i/>
        </w:rPr>
        <w:t>on</w:t>
      </w:r>
      <w:r>
        <w:rPr>
          <w:i/>
          <w:spacing w:val="-6"/>
        </w:rPr>
        <w:t xml:space="preserve"> </w:t>
      </w:r>
      <w:r>
        <w:rPr>
          <w:i/>
        </w:rPr>
        <w:t>staff</w:t>
      </w:r>
      <w:r>
        <w:rPr>
          <w:i/>
          <w:spacing w:val="-7"/>
        </w:rPr>
        <w:t xml:space="preserve"> </w:t>
      </w:r>
      <w:r>
        <w:rPr>
          <w:i/>
        </w:rPr>
        <w:t>and</w:t>
      </w:r>
      <w:r>
        <w:rPr>
          <w:i/>
          <w:spacing w:val="-2"/>
        </w:rPr>
        <w:t xml:space="preserve"> students.</w:t>
      </w:r>
    </w:p>
    <w:p w14:paraId="0D862CBA" w14:textId="77777777" w:rsidR="000E61B1" w:rsidRDefault="000E61B1">
      <w:pPr>
        <w:pStyle w:val="BodyText"/>
        <w:rPr>
          <w:i/>
          <w:sz w:val="26"/>
        </w:rPr>
      </w:pPr>
    </w:p>
    <w:p w14:paraId="6F6E8514" w14:textId="77777777" w:rsidR="000E61B1" w:rsidRDefault="000E61B1">
      <w:pPr>
        <w:pStyle w:val="BodyText"/>
        <w:spacing w:before="11"/>
        <w:rPr>
          <w:i/>
          <w:sz w:val="26"/>
        </w:rPr>
      </w:pPr>
    </w:p>
    <w:p w14:paraId="7DF4423A" w14:textId="77777777" w:rsidR="000E61B1" w:rsidRDefault="00000000">
      <w:pPr>
        <w:ind w:left="220"/>
        <w:rPr>
          <w:b/>
          <w:i/>
        </w:rPr>
      </w:pPr>
      <w:proofErr w:type="spellStart"/>
      <w:r>
        <w:rPr>
          <w:b/>
          <w:i/>
        </w:rPr>
        <w:t>Personalised</w:t>
      </w:r>
      <w:proofErr w:type="spellEnd"/>
      <w:r>
        <w:rPr>
          <w:b/>
          <w:i/>
          <w:spacing w:val="-13"/>
        </w:rPr>
        <w:t xml:space="preserve"> </w:t>
      </w:r>
      <w:r>
        <w:rPr>
          <w:b/>
          <w:i/>
          <w:spacing w:val="-2"/>
        </w:rPr>
        <w:t>curriculum.</w:t>
      </w:r>
    </w:p>
    <w:p w14:paraId="1E9DB5EA" w14:textId="77777777" w:rsidR="000E61B1" w:rsidRDefault="000E61B1">
      <w:pPr>
        <w:pStyle w:val="BodyText"/>
        <w:rPr>
          <w:b/>
          <w:i/>
          <w:sz w:val="24"/>
        </w:rPr>
      </w:pPr>
    </w:p>
    <w:p w14:paraId="23589BD0" w14:textId="77777777" w:rsidR="000E61B1" w:rsidRDefault="000E61B1">
      <w:pPr>
        <w:pStyle w:val="BodyText"/>
        <w:spacing w:before="6"/>
        <w:rPr>
          <w:b/>
          <w:i/>
          <w:sz w:val="29"/>
        </w:rPr>
      </w:pPr>
    </w:p>
    <w:p w14:paraId="195E512F" w14:textId="77777777" w:rsidR="000E61B1" w:rsidRDefault="00000000">
      <w:pPr>
        <w:ind w:left="220"/>
        <w:rPr>
          <w:b/>
          <w:sz w:val="20"/>
        </w:rPr>
      </w:pPr>
      <w:r>
        <w:rPr>
          <w:b/>
          <w:sz w:val="20"/>
        </w:rPr>
        <w:t>Figure</w:t>
      </w:r>
      <w:r>
        <w:rPr>
          <w:b/>
          <w:spacing w:val="-7"/>
          <w:sz w:val="20"/>
        </w:rPr>
        <w:t xml:space="preserve"> </w:t>
      </w:r>
      <w:r>
        <w:rPr>
          <w:b/>
          <w:sz w:val="20"/>
        </w:rPr>
        <w:t>4:</w:t>
      </w:r>
      <w:r>
        <w:rPr>
          <w:b/>
          <w:spacing w:val="-10"/>
          <w:sz w:val="20"/>
        </w:rPr>
        <w:t xml:space="preserve"> </w:t>
      </w:r>
      <w:r>
        <w:rPr>
          <w:b/>
          <w:sz w:val="20"/>
        </w:rPr>
        <w:t>Approaches</w:t>
      </w:r>
      <w:r>
        <w:rPr>
          <w:b/>
          <w:spacing w:val="-7"/>
          <w:sz w:val="20"/>
        </w:rPr>
        <w:t xml:space="preserve"> </w:t>
      </w:r>
      <w:r>
        <w:rPr>
          <w:b/>
          <w:sz w:val="20"/>
        </w:rPr>
        <w:t>to</w:t>
      </w:r>
      <w:r>
        <w:rPr>
          <w:b/>
          <w:spacing w:val="-9"/>
          <w:sz w:val="20"/>
        </w:rPr>
        <w:t xml:space="preserve"> </w:t>
      </w:r>
      <w:r>
        <w:rPr>
          <w:b/>
          <w:sz w:val="20"/>
        </w:rPr>
        <w:t>‘</w:t>
      </w:r>
      <w:proofErr w:type="spellStart"/>
      <w:r>
        <w:rPr>
          <w:b/>
          <w:sz w:val="20"/>
        </w:rPr>
        <w:t>personalisation</w:t>
      </w:r>
      <w:proofErr w:type="spellEnd"/>
      <w:r>
        <w:rPr>
          <w:b/>
          <w:sz w:val="20"/>
        </w:rPr>
        <w:t>’</w:t>
      </w:r>
      <w:r>
        <w:rPr>
          <w:b/>
          <w:spacing w:val="-8"/>
          <w:sz w:val="20"/>
        </w:rPr>
        <w:t xml:space="preserve"> </w:t>
      </w:r>
      <w:r>
        <w:rPr>
          <w:b/>
          <w:sz w:val="20"/>
        </w:rPr>
        <w:t>taken</w:t>
      </w:r>
      <w:r>
        <w:rPr>
          <w:b/>
          <w:spacing w:val="-5"/>
          <w:sz w:val="20"/>
        </w:rPr>
        <w:t xml:space="preserve"> </w:t>
      </w:r>
      <w:r>
        <w:rPr>
          <w:b/>
          <w:sz w:val="20"/>
        </w:rPr>
        <w:t>from</w:t>
      </w:r>
      <w:r>
        <w:rPr>
          <w:b/>
          <w:spacing w:val="-7"/>
          <w:sz w:val="20"/>
        </w:rPr>
        <w:t xml:space="preserve"> </w:t>
      </w:r>
      <w:r>
        <w:rPr>
          <w:b/>
          <w:sz w:val="20"/>
        </w:rPr>
        <w:t>the</w:t>
      </w:r>
      <w:r>
        <w:rPr>
          <w:b/>
          <w:spacing w:val="-6"/>
          <w:sz w:val="20"/>
        </w:rPr>
        <w:t xml:space="preserve"> </w:t>
      </w:r>
      <w:r>
        <w:rPr>
          <w:b/>
          <w:spacing w:val="-2"/>
          <w:sz w:val="20"/>
        </w:rPr>
        <w:t>report.</w:t>
      </w:r>
    </w:p>
    <w:p w14:paraId="525D2AA6" w14:textId="77777777" w:rsidR="000E61B1" w:rsidRDefault="00000000">
      <w:pPr>
        <w:pStyle w:val="BodyText"/>
        <w:spacing w:before="7"/>
        <w:rPr>
          <w:b/>
          <w:sz w:val="17"/>
        </w:rPr>
      </w:pPr>
      <w:r>
        <w:rPr>
          <w:noProof/>
        </w:rPr>
        <w:drawing>
          <wp:anchor distT="0" distB="0" distL="0" distR="0" simplePos="0" relativeHeight="6" behindDoc="0" locked="0" layoutInCell="1" allowOverlap="1" wp14:anchorId="214F42C3" wp14:editId="78C0FA18">
            <wp:simplePos x="0" y="0"/>
            <wp:positionH relativeFrom="page">
              <wp:posOffset>1060450</wp:posOffset>
            </wp:positionH>
            <wp:positionV relativeFrom="paragraph">
              <wp:posOffset>144241</wp:posOffset>
            </wp:positionV>
            <wp:extent cx="2968515" cy="2973895"/>
            <wp:effectExtent l="0" t="0" r="0" b="0"/>
            <wp:wrapTopAndBottom/>
            <wp:docPr id="3" name="image2.jpeg" descr="Diagram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51" cstate="print"/>
                    <a:stretch>
                      <a:fillRect/>
                    </a:stretch>
                  </pic:blipFill>
                  <pic:spPr>
                    <a:xfrm>
                      <a:off x="0" y="0"/>
                      <a:ext cx="2968515" cy="2973895"/>
                    </a:xfrm>
                    <a:prstGeom prst="rect">
                      <a:avLst/>
                    </a:prstGeom>
                  </pic:spPr>
                </pic:pic>
              </a:graphicData>
            </a:graphic>
          </wp:anchor>
        </w:drawing>
      </w:r>
    </w:p>
    <w:p w14:paraId="5B3A1372" w14:textId="77777777" w:rsidR="000E61B1" w:rsidRDefault="000E61B1">
      <w:pPr>
        <w:pStyle w:val="BodyText"/>
        <w:rPr>
          <w:b/>
        </w:rPr>
      </w:pPr>
    </w:p>
    <w:p w14:paraId="5E08E0E4" w14:textId="77777777" w:rsidR="000E61B1" w:rsidRDefault="000E61B1">
      <w:pPr>
        <w:pStyle w:val="BodyText"/>
        <w:spacing w:before="1"/>
        <w:rPr>
          <w:b/>
          <w:sz w:val="32"/>
        </w:rPr>
      </w:pPr>
    </w:p>
    <w:p w14:paraId="15A87AEC" w14:textId="77777777" w:rsidR="000E61B1" w:rsidRDefault="00000000">
      <w:pPr>
        <w:spacing w:line="259" w:lineRule="auto"/>
        <w:ind w:left="220" w:right="211"/>
        <w:jc w:val="both"/>
        <w:rPr>
          <w:i/>
        </w:rPr>
      </w:pPr>
      <w:r>
        <w:rPr>
          <w:i/>
        </w:rPr>
        <w:t>Access points: One example described hybrid delivery of lessons, combining in-person classroom delivery with remote students joining simultaneously via MS Teams. Video and course materials were then provided asynchronously, allowing students to learn at time that suited them best. This type of hybrid and blended offering, although time consuming to prepare, was described as ‘short-term pain for long-term gain’</w:t>
      </w:r>
      <w:r>
        <w:rPr>
          <w:i/>
          <w:spacing w:val="-1"/>
        </w:rPr>
        <w:t xml:space="preserve"> </w:t>
      </w:r>
      <w:r>
        <w:rPr>
          <w:i/>
        </w:rPr>
        <w:t>and added considerably</w:t>
      </w:r>
      <w:r>
        <w:rPr>
          <w:i/>
          <w:spacing w:val="-1"/>
        </w:rPr>
        <w:t xml:space="preserve"> </w:t>
      </w:r>
      <w:r>
        <w:rPr>
          <w:i/>
        </w:rPr>
        <w:t>more flexibility for learners to interact with others and progress through their course</w:t>
      </w:r>
    </w:p>
    <w:p w14:paraId="7B807F61" w14:textId="77777777" w:rsidR="000E61B1" w:rsidRDefault="00000000">
      <w:pPr>
        <w:spacing w:before="156"/>
        <w:ind w:left="220"/>
        <w:rPr>
          <w:i/>
        </w:rPr>
      </w:pPr>
      <w:r>
        <w:rPr>
          <w:i/>
        </w:rPr>
        <w:t>Bespoke</w:t>
      </w:r>
      <w:r>
        <w:rPr>
          <w:i/>
          <w:spacing w:val="-3"/>
        </w:rPr>
        <w:t xml:space="preserve"> </w:t>
      </w:r>
      <w:r>
        <w:rPr>
          <w:i/>
        </w:rPr>
        <w:t>Course</w:t>
      </w:r>
      <w:r>
        <w:rPr>
          <w:i/>
          <w:spacing w:val="-7"/>
        </w:rPr>
        <w:t xml:space="preserve"> </w:t>
      </w:r>
      <w:r>
        <w:rPr>
          <w:i/>
        </w:rPr>
        <w:t>Options</w:t>
      </w:r>
      <w:r>
        <w:rPr>
          <w:i/>
          <w:spacing w:val="-4"/>
        </w:rPr>
        <w:t xml:space="preserve"> </w:t>
      </w:r>
      <w:r>
        <w:rPr>
          <w:i/>
        </w:rPr>
        <w:t>COVID</w:t>
      </w:r>
      <w:r>
        <w:rPr>
          <w:i/>
          <w:spacing w:val="-4"/>
        </w:rPr>
        <w:t xml:space="preserve"> </w:t>
      </w:r>
      <w:r>
        <w:rPr>
          <w:i/>
        </w:rPr>
        <w:t>resulted</w:t>
      </w:r>
      <w:r>
        <w:rPr>
          <w:i/>
          <w:spacing w:val="-3"/>
        </w:rPr>
        <w:t xml:space="preserve"> </w:t>
      </w:r>
      <w:r>
        <w:rPr>
          <w:i/>
        </w:rPr>
        <w:t>in</w:t>
      </w:r>
      <w:r>
        <w:rPr>
          <w:i/>
          <w:spacing w:val="-3"/>
        </w:rPr>
        <w:t xml:space="preserve"> </w:t>
      </w:r>
      <w:r>
        <w:rPr>
          <w:i/>
        </w:rPr>
        <w:t>a</w:t>
      </w:r>
      <w:r>
        <w:rPr>
          <w:i/>
          <w:spacing w:val="-6"/>
        </w:rPr>
        <w:t xml:space="preserve"> </w:t>
      </w:r>
      <w:r>
        <w:rPr>
          <w:i/>
        </w:rPr>
        <w:t>rise</w:t>
      </w:r>
      <w:r>
        <w:rPr>
          <w:i/>
          <w:spacing w:val="-7"/>
        </w:rPr>
        <w:t xml:space="preserve"> </w:t>
      </w:r>
      <w:r>
        <w:rPr>
          <w:i/>
        </w:rPr>
        <w:t>of</w:t>
      </w:r>
      <w:r>
        <w:rPr>
          <w:i/>
          <w:spacing w:val="-7"/>
        </w:rPr>
        <w:t xml:space="preserve"> </w:t>
      </w:r>
      <w:r>
        <w:rPr>
          <w:i/>
        </w:rPr>
        <w:t>applications</w:t>
      </w:r>
      <w:r>
        <w:rPr>
          <w:i/>
          <w:spacing w:val="-9"/>
        </w:rPr>
        <w:t xml:space="preserve"> </w:t>
      </w:r>
      <w:r>
        <w:rPr>
          <w:i/>
        </w:rPr>
        <w:t>for</w:t>
      </w:r>
      <w:r>
        <w:rPr>
          <w:i/>
          <w:spacing w:val="-5"/>
        </w:rPr>
        <w:t xml:space="preserve"> </w:t>
      </w:r>
      <w:r>
        <w:rPr>
          <w:i/>
        </w:rPr>
        <w:t>short</w:t>
      </w:r>
      <w:r>
        <w:rPr>
          <w:i/>
          <w:spacing w:val="-7"/>
        </w:rPr>
        <w:t xml:space="preserve"> </w:t>
      </w:r>
      <w:r>
        <w:rPr>
          <w:i/>
          <w:spacing w:val="-2"/>
        </w:rPr>
        <w:t>courses.</w:t>
      </w:r>
    </w:p>
    <w:p w14:paraId="0BA3AFAB" w14:textId="77777777" w:rsidR="000E61B1" w:rsidRDefault="00000000">
      <w:pPr>
        <w:spacing w:before="180" w:line="259" w:lineRule="auto"/>
        <w:ind w:left="220" w:right="208"/>
        <w:jc w:val="both"/>
        <w:rPr>
          <w:i/>
        </w:rPr>
      </w:pPr>
      <w:r>
        <w:rPr>
          <w:b/>
          <w:i/>
        </w:rPr>
        <w:t xml:space="preserve">Conclusions </w:t>
      </w:r>
      <w:r>
        <w:rPr>
          <w:i/>
        </w:rPr>
        <w:t>A salient aspect of the research was the differing perceptions of post-COVID curriculum design opportunities and benefits to all key stakeholders. While many had some success</w:t>
      </w:r>
      <w:r>
        <w:rPr>
          <w:i/>
          <w:spacing w:val="-14"/>
        </w:rPr>
        <w:t xml:space="preserve"> </w:t>
      </w:r>
      <w:r>
        <w:rPr>
          <w:i/>
        </w:rPr>
        <w:t>delivering</w:t>
      </w:r>
      <w:r>
        <w:rPr>
          <w:i/>
          <w:spacing w:val="-12"/>
        </w:rPr>
        <w:t xml:space="preserve"> </w:t>
      </w:r>
      <w:r>
        <w:rPr>
          <w:i/>
        </w:rPr>
        <w:t>digitally</w:t>
      </w:r>
      <w:r>
        <w:rPr>
          <w:i/>
          <w:spacing w:val="-9"/>
        </w:rPr>
        <w:t xml:space="preserve"> </w:t>
      </w:r>
      <w:r>
        <w:rPr>
          <w:i/>
        </w:rPr>
        <w:t>as</w:t>
      </w:r>
      <w:r>
        <w:rPr>
          <w:i/>
          <w:spacing w:val="-14"/>
        </w:rPr>
        <w:t xml:space="preserve"> </w:t>
      </w:r>
      <w:r>
        <w:rPr>
          <w:i/>
        </w:rPr>
        <w:t>part</w:t>
      </w:r>
      <w:r>
        <w:rPr>
          <w:i/>
          <w:spacing w:val="-13"/>
        </w:rPr>
        <w:t xml:space="preserve"> </w:t>
      </w:r>
      <w:r>
        <w:rPr>
          <w:i/>
        </w:rPr>
        <w:t>of</w:t>
      </w:r>
      <w:r>
        <w:rPr>
          <w:i/>
          <w:spacing w:val="-13"/>
        </w:rPr>
        <w:t xml:space="preserve"> </w:t>
      </w:r>
      <w:r>
        <w:rPr>
          <w:i/>
        </w:rPr>
        <w:t>the</w:t>
      </w:r>
      <w:r>
        <w:rPr>
          <w:i/>
          <w:spacing w:val="-7"/>
        </w:rPr>
        <w:t xml:space="preserve"> </w:t>
      </w:r>
      <w:r>
        <w:rPr>
          <w:i/>
        </w:rPr>
        <w:t>crisis</w:t>
      </w:r>
      <w:r>
        <w:rPr>
          <w:i/>
          <w:spacing w:val="-9"/>
        </w:rPr>
        <w:t xml:space="preserve"> </w:t>
      </w:r>
      <w:r>
        <w:rPr>
          <w:i/>
        </w:rPr>
        <w:t>management</w:t>
      </w:r>
      <w:r>
        <w:rPr>
          <w:i/>
          <w:spacing w:val="-8"/>
        </w:rPr>
        <w:t xml:space="preserve"> </w:t>
      </w:r>
      <w:r>
        <w:rPr>
          <w:i/>
        </w:rPr>
        <w:t>stage</w:t>
      </w:r>
      <w:r>
        <w:rPr>
          <w:i/>
          <w:spacing w:val="-12"/>
        </w:rPr>
        <w:t xml:space="preserve"> </w:t>
      </w:r>
      <w:r>
        <w:rPr>
          <w:i/>
        </w:rPr>
        <w:t>of</w:t>
      </w:r>
      <w:r>
        <w:rPr>
          <w:i/>
          <w:spacing w:val="-8"/>
        </w:rPr>
        <w:t xml:space="preserve"> </w:t>
      </w:r>
      <w:r>
        <w:rPr>
          <w:i/>
        </w:rPr>
        <w:t>the</w:t>
      </w:r>
      <w:r>
        <w:rPr>
          <w:i/>
          <w:spacing w:val="-12"/>
        </w:rPr>
        <w:t xml:space="preserve"> </w:t>
      </w:r>
      <w:r>
        <w:rPr>
          <w:i/>
        </w:rPr>
        <w:t>pandemic,</w:t>
      </w:r>
      <w:r>
        <w:rPr>
          <w:i/>
          <w:spacing w:val="-8"/>
        </w:rPr>
        <w:t xml:space="preserve"> </w:t>
      </w:r>
      <w:r>
        <w:rPr>
          <w:i/>
        </w:rPr>
        <w:t>there</w:t>
      </w:r>
      <w:r>
        <w:rPr>
          <w:i/>
          <w:spacing w:val="-7"/>
        </w:rPr>
        <w:t xml:space="preserve"> </w:t>
      </w:r>
      <w:r>
        <w:rPr>
          <w:i/>
        </w:rPr>
        <w:t>was a clear</w:t>
      </w:r>
      <w:r>
        <w:rPr>
          <w:i/>
          <w:spacing w:val="-8"/>
        </w:rPr>
        <w:t xml:space="preserve"> </w:t>
      </w:r>
      <w:r>
        <w:rPr>
          <w:i/>
        </w:rPr>
        <w:t>perception</w:t>
      </w:r>
      <w:r>
        <w:rPr>
          <w:i/>
          <w:spacing w:val="-4"/>
        </w:rPr>
        <w:t xml:space="preserve"> </w:t>
      </w:r>
      <w:r>
        <w:rPr>
          <w:i/>
        </w:rPr>
        <w:t>and</w:t>
      </w:r>
      <w:r>
        <w:rPr>
          <w:i/>
          <w:spacing w:val="-4"/>
        </w:rPr>
        <w:t xml:space="preserve"> </w:t>
      </w:r>
      <w:r>
        <w:rPr>
          <w:i/>
        </w:rPr>
        <w:t>worry</w:t>
      </w:r>
      <w:r>
        <w:rPr>
          <w:i/>
          <w:spacing w:val="-6"/>
        </w:rPr>
        <w:t xml:space="preserve"> </w:t>
      </w:r>
      <w:r>
        <w:rPr>
          <w:i/>
        </w:rPr>
        <w:t>that</w:t>
      </w:r>
      <w:r>
        <w:rPr>
          <w:i/>
          <w:spacing w:val="-5"/>
        </w:rPr>
        <w:t xml:space="preserve"> </w:t>
      </w:r>
      <w:r>
        <w:rPr>
          <w:i/>
        </w:rPr>
        <w:t>some</w:t>
      </w:r>
      <w:r>
        <w:rPr>
          <w:i/>
          <w:spacing w:val="-4"/>
        </w:rPr>
        <w:t xml:space="preserve"> </w:t>
      </w:r>
      <w:r>
        <w:rPr>
          <w:i/>
        </w:rPr>
        <w:t>in</w:t>
      </w:r>
      <w:r>
        <w:rPr>
          <w:i/>
          <w:spacing w:val="-4"/>
        </w:rPr>
        <w:t xml:space="preserve"> </w:t>
      </w:r>
      <w:r>
        <w:rPr>
          <w:i/>
        </w:rPr>
        <w:t>the</w:t>
      </w:r>
      <w:r>
        <w:rPr>
          <w:i/>
          <w:spacing w:val="-4"/>
        </w:rPr>
        <w:t xml:space="preserve"> </w:t>
      </w:r>
      <w:r>
        <w:rPr>
          <w:i/>
        </w:rPr>
        <w:t>sector</w:t>
      </w:r>
      <w:r>
        <w:rPr>
          <w:i/>
          <w:spacing w:val="-8"/>
        </w:rPr>
        <w:t xml:space="preserve"> </w:t>
      </w:r>
      <w:r>
        <w:rPr>
          <w:i/>
        </w:rPr>
        <w:t>see</w:t>
      </w:r>
      <w:r>
        <w:rPr>
          <w:i/>
          <w:spacing w:val="-4"/>
        </w:rPr>
        <w:t xml:space="preserve"> </w:t>
      </w:r>
      <w:r>
        <w:rPr>
          <w:i/>
        </w:rPr>
        <w:t>moving</w:t>
      </w:r>
      <w:r>
        <w:rPr>
          <w:i/>
          <w:spacing w:val="-4"/>
        </w:rPr>
        <w:t xml:space="preserve"> </w:t>
      </w:r>
      <w:r>
        <w:rPr>
          <w:i/>
        </w:rPr>
        <w:t>learning</w:t>
      </w:r>
      <w:r>
        <w:rPr>
          <w:i/>
          <w:spacing w:val="-4"/>
        </w:rPr>
        <w:t xml:space="preserve"> </w:t>
      </w:r>
      <w:r>
        <w:rPr>
          <w:i/>
        </w:rPr>
        <w:t>and</w:t>
      </w:r>
      <w:r>
        <w:rPr>
          <w:i/>
          <w:spacing w:val="-4"/>
        </w:rPr>
        <w:t xml:space="preserve"> </w:t>
      </w:r>
      <w:r>
        <w:rPr>
          <w:i/>
        </w:rPr>
        <w:t>teaching</w:t>
      </w:r>
      <w:r>
        <w:rPr>
          <w:i/>
          <w:spacing w:val="-4"/>
        </w:rPr>
        <w:t xml:space="preserve"> </w:t>
      </w:r>
      <w:r>
        <w:rPr>
          <w:i/>
        </w:rPr>
        <w:t>online as</w:t>
      </w:r>
      <w:r>
        <w:rPr>
          <w:i/>
          <w:spacing w:val="-5"/>
        </w:rPr>
        <w:t xml:space="preserve"> </w:t>
      </w:r>
      <w:r>
        <w:rPr>
          <w:i/>
        </w:rPr>
        <w:t>a cost-cutting</w:t>
      </w:r>
      <w:r>
        <w:rPr>
          <w:i/>
          <w:spacing w:val="-3"/>
        </w:rPr>
        <w:t xml:space="preserve"> </w:t>
      </w:r>
      <w:r>
        <w:rPr>
          <w:i/>
        </w:rPr>
        <w:t>exercise</w:t>
      </w:r>
      <w:r>
        <w:rPr>
          <w:i/>
          <w:spacing w:val="-3"/>
        </w:rPr>
        <w:t xml:space="preserve"> </w:t>
      </w:r>
      <w:r>
        <w:rPr>
          <w:i/>
        </w:rPr>
        <w:t>which</w:t>
      </w:r>
      <w:r>
        <w:rPr>
          <w:i/>
          <w:spacing w:val="-3"/>
        </w:rPr>
        <w:t xml:space="preserve"> </w:t>
      </w:r>
      <w:r>
        <w:rPr>
          <w:i/>
        </w:rPr>
        <w:t>would</w:t>
      </w:r>
      <w:r>
        <w:rPr>
          <w:i/>
          <w:spacing w:val="-3"/>
        </w:rPr>
        <w:t xml:space="preserve"> </w:t>
      </w:r>
      <w:r>
        <w:rPr>
          <w:i/>
        </w:rPr>
        <w:t>be</w:t>
      </w:r>
      <w:r>
        <w:rPr>
          <w:i/>
          <w:spacing w:val="-3"/>
        </w:rPr>
        <w:t xml:space="preserve"> </w:t>
      </w:r>
      <w:r>
        <w:rPr>
          <w:i/>
        </w:rPr>
        <w:t>detrimental</w:t>
      </w:r>
      <w:r>
        <w:rPr>
          <w:i/>
          <w:spacing w:val="-6"/>
        </w:rPr>
        <w:t xml:space="preserve"> </w:t>
      </w:r>
      <w:r>
        <w:rPr>
          <w:i/>
        </w:rPr>
        <w:t>to the</w:t>
      </w:r>
      <w:r>
        <w:rPr>
          <w:i/>
          <w:spacing w:val="-3"/>
        </w:rPr>
        <w:t xml:space="preserve"> </w:t>
      </w:r>
      <w:r>
        <w:rPr>
          <w:i/>
        </w:rPr>
        <w:t>student</w:t>
      </w:r>
      <w:r>
        <w:rPr>
          <w:i/>
          <w:spacing w:val="-4"/>
        </w:rPr>
        <w:t xml:space="preserve"> </w:t>
      </w:r>
      <w:r>
        <w:rPr>
          <w:i/>
        </w:rPr>
        <w:t>experience.</w:t>
      </w:r>
      <w:r>
        <w:rPr>
          <w:i/>
          <w:spacing w:val="-9"/>
        </w:rPr>
        <w:t xml:space="preserve"> </w:t>
      </w:r>
      <w:r>
        <w:rPr>
          <w:i/>
        </w:rPr>
        <w:t>What</w:t>
      </w:r>
      <w:r>
        <w:rPr>
          <w:i/>
          <w:spacing w:val="-4"/>
        </w:rPr>
        <w:t xml:space="preserve"> </w:t>
      </w:r>
      <w:r>
        <w:rPr>
          <w:i/>
        </w:rPr>
        <w:t>is</w:t>
      </w:r>
      <w:r>
        <w:rPr>
          <w:i/>
          <w:spacing w:val="-5"/>
        </w:rPr>
        <w:t xml:space="preserve"> </w:t>
      </w:r>
      <w:r>
        <w:rPr>
          <w:i/>
        </w:rPr>
        <w:t>also clear</w:t>
      </w:r>
      <w:r>
        <w:rPr>
          <w:i/>
          <w:spacing w:val="-11"/>
        </w:rPr>
        <w:t xml:space="preserve"> </w:t>
      </w:r>
      <w:r>
        <w:rPr>
          <w:i/>
        </w:rPr>
        <w:t>is</w:t>
      </w:r>
      <w:r>
        <w:rPr>
          <w:i/>
          <w:spacing w:val="-10"/>
        </w:rPr>
        <w:t xml:space="preserve"> </w:t>
      </w:r>
      <w:r>
        <w:rPr>
          <w:i/>
        </w:rPr>
        <w:t>that</w:t>
      </w:r>
      <w:r>
        <w:rPr>
          <w:i/>
          <w:spacing w:val="-14"/>
        </w:rPr>
        <w:t xml:space="preserve"> </w:t>
      </w:r>
      <w:r>
        <w:rPr>
          <w:i/>
        </w:rPr>
        <w:t>even</w:t>
      </w:r>
      <w:r>
        <w:rPr>
          <w:i/>
          <w:spacing w:val="-8"/>
        </w:rPr>
        <w:t xml:space="preserve"> </w:t>
      </w:r>
      <w:r>
        <w:rPr>
          <w:i/>
        </w:rPr>
        <w:t>though</w:t>
      </w:r>
      <w:r>
        <w:rPr>
          <w:i/>
          <w:spacing w:val="-8"/>
        </w:rPr>
        <w:t xml:space="preserve"> </w:t>
      </w:r>
      <w:r>
        <w:rPr>
          <w:i/>
        </w:rPr>
        <w:t>all</w:t>
      </w:r>
      <w:r>
        <w:rPr>
          <w:i/>
          <w:spacing w:val="-11"/>
        </w:rPr>
        <w:t xml:space="preserve"> </w:t>
      </w:r>
      <w:r>
        <w:rPr>
          <w:i/>
        </w:rPr>
        <w:t>institutions</w:t>
      </w:r>
      <w:r>
        <w:rPr>
          <w:i/>
          <w:spacing w:val="-15"/>
        </w:rPr>
        <w:t xml:space="preserve"> </w:t>
      </w:r>
      <w:r>
        <w:rPr>
          <w:i/>
        </w:rPr>
        <w:t>are</w:t>
      </w:r>
      <w:r>
        <w:rPr>
          <w:i/>
          <w:spacing w:val="-13"/>
        </w:rPr>
        <w:t xml:space="preserve"> </w:t>
      </w:r>
      <w:r>
        <w:rPr>
          <w:i/>
        </w:rPr>
        <w:t>bound</w:t>
      </w:r>
      <w:r>
        <w:rPr>
          <w:i/>
          <w:spacing w:val="-8"/>
        </w:rPr>
        <w:t xml:space="preserve"> </w:t>
      </w:r>
      <w:r>
        <w:rPr>
          <w:i/>
        </w:rPr>
        <w:t>to</w:t>
      </w:r>
      <w:r>
        <w:rPr>
          <w:i/>
          <w:spacing w:val="-8"/>
        </w:rPr>
        <w:t xml:space="preserve"> </w:t>
      </w:r>
      <w:r>
        <w:rPr>
          <w:i/>
        </w:rPr>
        <w:t>the</w:t>
      </w:r>
      <w:r>
        <w:rPr>
          <w:i/>
          <w:spacing w:val="-8"/>
        </w:rPr>
        <w:t xml:space="preserve"> </w:t>
      </w:r>
      <w:r>
        <w:rPr>
          <w:i/>
        </w:rPr>
        <w:t>same</w:t>
      </w:r>
      <w:r>
        <w:rPr>
          <w:i/>
          <w:spacing w:val="-8"/>
        </w:rPr>
        <w:t xml:space="preserve"> </w:t>
      </w:r>
      <w:r>
        <w:rPr>
          <w:i/>
        </w:rPr>
        <w:t>model</w:t>
      </w:r>
      <w:r>
        <w:rPr>
          <w:i/>
          <w:spacing w:val="-16"/>
        </w:rPr>
        <w:t xml:space="preserve"> </w:t>
      </w:r>
      <w:r>
        <w:rPr>
          <w:i/>
        </w:rPr>
        <w:t>of</w:t>
      </w:r>
      <w:r>
        <w:rPr>
          <w:i/>
          <w:spacing w:val="-8"/>
        </w:rPr>
        <w:t xml:space="preserve"> </w:t>
      </w:r>
      <w:r>
        <w:rPr>
          <w:i/>
        </w:rPr>
        <w:t>funding</w:t>
      </w:r>
      <w:r>
        <w:rPr>
          <w:i/>
          <w:spacing w:val="-13"/>
        </w:rPr>
        <w:t xml:space="preserve"> </w:t>
      </w:r>
      <w:r>
        <w:rPr>
          <w:i/>
        </w:rPr>
        <w:t>and</w:t>
      </w:r>
      <w:r>
        <w:rPr>
          <w:i/>
          <w:spacing w:val="-13"/>
        </w:rPr>
        <w:t xml:space="preserve"> </w:t>
      </w:r>
      <w:r>
        <w:rPr>
          <w:i/>
        </w:rPr>
        <w:t>academic</w:t>
      </w:r>
    </w:p>
    <w:p w14:paraId="2196D750" w14:textId="77777777" w:rsidR="000E61B1" w:rsidRDefault="000E61B1">
      <w:pPr>
        <w:spacing w:line="259" w:lineRule="auto"/>
        <w:jc w:val="both"/>
        <w:sectPr w:rsidR="000E61B1">
          <w:pgSz w:w="11910" w:h="16840"/>
          <w:pgMar w:top="1400" w:right="1220" w:bottom="280" w:left="1220" w:header="708" w:footer="0" w:gutter="0"/>
          <w:cols w:space="720"/>
        </w:sectPr>
      </w:pPr>
    </w:p>
    <w:p w14:paraId="32CEE7A3" w14:textId="77777777" w:rsidR="000E61B1" w:rsidRDefault="00000000">
      <w:pPr>
        <w:spacing w:before="30" w:line="259" w:lineRule="auto"/>
        <w:ind w:left="220" w:right="212"/>
        <w:jc w:val="both"/>
        <w:rPr>
          <w:i/>
        </w:rPr>
      </w:pPr>
      <w:r>
        <w:rPr>
          <w:i/>
        </w:rPr>
        <w:lastRenderedPageBreak/>
        <w:t>cycle,</w:t>
      </w:r>
      <w:r>
        <w:rPr>
          <w:i/>
          <w:spacing w:val="-16"/>
        </w:rPr>
        <w:t xml:space="preserve"> </w:t>
      </w:r>
      <w:r>
        <w:rPr>
          <w:i/>
        </w:rPr>
        <w:t>there</w:t>
      </w:r>
      <w:r>
        <w:rPr>
          <w:i/>
          <w:spacing w:val="-15"/>
        </w:rPr>
        <w:t xml:space="preserve"> </w:t>
      </w:r>
      <w:r>
        <w:rPr>
          <w:i/>
        </w:rPr>
        <w:t>were</w:t>
      </w:r>
      <w:r>
        <w:rPr>
          <w:i/>
          <w:spacing w:val="-15"/>
        </w:rPr>
        <w:t xml:space="preserve"> </w:t>
      </w:r>
      <w:r>
        <w:rPr>
          <w:i/>
        </w:rPr>
        <w:t>wide</w:t>
      </w:r>
      <w:r>
        <w:rPr>
          <w:i/>
          <w:spacing w:val="-16"/>
        </w:rPr>
        <w:t xml:space="preserve"> </w:t>
      </w:r>
      <w:r>
        <w:rPr>
          <w:i/>
        </w:rPr>
        <w:t>variations</w:t>
      </w:r>
      <w:r>
        <w:rPr>
          <w:i/>
          <w:spacing w:val="-15"/>
        </w:rPr>
        <w:t xml:space="preserve"> </w:t>
      </w:r>
      <w:r>
        <w:rPr>
          <w:i/>
        </w:rPr>
        <w:t>in</w:t>
      </w:r>
      <w:r>
        <w:rPr>
          <w:i/>
          <w:spacing w:val="-15"/>
        </w:rPr>
        <w:t xml:space="preserve"> </w:t>
      </w:r>
      <w:r>
        <w:rPr>
          <w:i/>
        </w:rPr>
        <w:t>how</w:t>
      </w:r>
      <w:r>
        <w:rPr>
          <w:i/>
          <w:spacing w:val="-15"/>
        </w:rPr>
        <w:t xml:space="preserve"> </w:t>
      </w:r>
      <w:r>
        <w:rPr>
          <w:i/>
        </w:rPr>
        <w:t>changes</w:t>
      </w:r>
      <w:r>
        <w:rPr>
          <w:i/>
          <w:spacing w:val="-16"/>
        </w:rPr>
        <w:t xml:space="preserve"> </w:t>
      </w:r>
      <w:r>
        <w:rPr>
          <w:i/>
        </w:rPr>
        <w:t>to</w:t>
      </w:r>
      <w:r>
        <w:rPr>
          <w:i/>
          <w:spacing w:val="-15"/>
        </w:rPr>
        <w:t xml:space="preserve"> </w:t>
      </w:r>
      <w:r>
        <w:rPr>
          <w:i/>
        </w:rPr>
        <w:t>curriculum</w:t>
      </w:r>
      <w:r>
        <w:rPr>
          <w:i/>
          <w:spacing w:val="-15"/>
        </w:rPr>
        <w:t xml:space="preserve"> </w:t>
      </w:r>
      <w:r>
        <w:rPr>
          <w:i/>
        </w:rPr>
        <w:t>design</w:t>
      </w:r>
      <w:r>
        <w:rPr>
          <w:i/>
          <w:spacing w:val="-16"/>
        </w:rPr>
        <w:t xml:space="preserve"> </w:t>
      </w:r>
      <w:r>
        <w:rPr>
          <w:i/>
        </w:rPr>
        <w:t>were</w:t>
      </w:r>
      <w:r>
        <w:rPr>
          <w:i/>
          <w:spacing w:val="-15"/>
        </w:rPr>
        <w:t xml:space="preserve"> </w:t>
      </w:r>
      <w:r>
        <w:rPr>
          <w:i/>
        </w:rPr>
        <w:t>managed</w:t>
      </w:r>
      <w:r>
        <w:rPr>
          <w:i/>
          <w:spacing w:val="-15"/>
        </w:rPr>
        <w:t xml:space="preserve"> </w:t>
      </w:r>
      <w:r>
        <w:rPr>
          <w:i/>
        </w:rPr>
        <w:t>between colleges, and in cases within individual colleges. The consequences of such disparity can negatively impact on the ability of leaders and managers to transition staff to change. While this may present some significant challenges initially, there are many opportunities for the sector</w:t>
      </w:r>
      <w:r>
        <w:rPr>
          <w:i/>
          <w:spacing w:val="-16"/>
        </w:rPr>
        <w:t xml:space="preserve"> </w:t>
      </w:r>
      <w:r>
        <w:rPr>
          <w:i/>
        </w:rPr>
        <w:t>to</w:t>
      </w:r>
      <w:r>
        <w:rPr>
          <w:i/>
          <w:spacing w:val="-15"/>
        </w:rPr>
        <w:t xml:space="preserve"> </w:t>
      </w:r>
      <w:r>
        <w:rPr>
          <w:i/>
        </w:rPr>
        <w:t>collaborate,</w:t>
      </w:r>
      <w:r>
        <w:rPr>
          <w:i/>
          <w:spacing w:val="-15"/>
        </w:rPr>
        <w:t xml:space="preserve"> </w:t>
      </w:r>
      <w:r>
        <w:rPr>
          <w:i/>
        </w:rPr>
        <w:t>share</w:t>
      </w:r>
      <w:r>
        <w:rPr>
          <w:i/>
          <w:spacing w:val="-16"/>
        </w:rPr>
        <w:t xml:space="preserve"> </w:t>
      </w:r>
      <w:r>
        <w:rPr>
          <w:i/>
        </w:rPr>
        <w:t>practice</w:t>
      </w:r>
      <w:r>
        <w:rPr>
          <w:i/>
          <w:spacing w:val="-15"/>
        </w:rPr>
        <w:t xml:space="preserve"> </w:t>
      </w:r>
      <w:r>
        <w:rPr>
          <w:i/>
        </w:rPr>
        <w:t>and</w:t>
      </w:r>
      <w:r>
        <w:rPr>
          <w:i/>
          <w:spacing w:val="-15"/>
        </w:rPr>
        <w:t xml:space="preserve"> </w:t>
      </w:r>
      <w:r>
        <w:rPr>
          <w:i/>
        </w:rPr>
        <w:t>learn</w:t>
      </w:r>
      <w:r>
        <w:rPr>
          <w:i/>
          <w:spacing w:val="-15"/>
        </w:rPr>
        <w:t xml:space="preserve"> </w:t>
      </w:r>
      <w:r>
        <w:rPr>
          <w:i/>
        </w:rPr>
        <w:t>from</w:t>
      </w:r>
      <w:r>
        <w:rPr>
          <w:i/>
          <w:spacing w:val="-16"/>
        </w:rPr>
        <w:t xml:space="preserve"> </w:t>
      </w:r>
      <w:r>
        <w:rPr>
          <w:i/>
        </w:rPr>
        <w:t>each</w:t>
      </w:r>
      <w:r>
        <w:rPr>
          <w:i/>
          <w:spacing w:val="-15"/>
        </w:rPr>
        <w:t xml:space="preserve"> </w:t>
      </w:r>
      <w:r>
        <w:rPr>
          <w:i/>
        </w:rPr>
        <w:t>other</w:t>
      </w:r>
      <w:r>
        <w:rPr>
          <w:i/>
          <w:spacing w:val="-15"/>
        </w:rPr>
        <w:t xml:space="preserve"> </w:t>
      </w:r>
      <w:r>
        <w:rPr>
          <w:i/>
        </w:rPr>
        <w:t>in</w:t>
      </w:r>
      <w:r>
        <w:rPr>
          <w:i/>
          <w:spacing w:val="-16"/>
        </w:rPr>
        <w:t xml:space="preserve"> </w:t>
      </w:r>
      <w:r>
        <w:rPr>
          <w:i/>
        </w:rPr>
        <w:t>a</w:t>
      </w:r>
      <w:r>
        <w:rPr>
          <w:i/>
          <w:spacing w:val="-15"/>
        </w:rPr>
        <w:t xml:space="preserve"> </w:t>
      </w:r>
      <w:r>
        <w:rPr>
          <w:i/>
        </w:rPr>
        <w:t>timely</w:t>
      </w:r>
      <w:r>
        <w:rPr>
          <w:i/>
          <w:spacing w:val="-15"/>
        </w:rPr>
        <w:t xml:space="preserve"> </w:t>
      </w:r>
      <w:r>
        <w:rPr>
          <w:i/>
        </w:rPr>
        <w:t>and</w:t>
      </w:r>
      <w:r>
        <w:rPr>
          <w:i/>
          <w:spacing w:val="-15"/>
        </w:rPr>
        <w:t xml:space="preserve"> </w:t>
      </w:r>
      <w:r>
        <w:rPr>
          <w:i/>
        </w:rPr>
        <w:t>effective</w:t>
      </w:r>
      <w:r>
        <w:rPr>
          <w:i/>
          <w:spacing w:val="-16"/>
        </w:rPr>
        <w:t xml:space="preserve"> </w:t>
      </w:r>
      <w:r>
        <w:rPr>
          <w:i/>
        </w:rPr>
        <w:t>manner to inform in-year and future planning based on the experience of others. Furthermore, with almost all COVID restrictions having now been removed, the research points to a risk of the sector unwittingly, sliding back to pre-March 2020 design and delivery models, thus losing much of the momentum</w:t>
      </w:r>
      <w:r>
        <w:rPr>
          <w:i/>
          <w:spacing w:val="-3"/>
        </w:rPr>
        <w:t xml:space="preserve"> </w:t>
      </w:r>
      <w:r>
        <w:rPr>
          <w:i/>
        </w:rPr>
        <w:t xml:space="preserve">for change. To avoid this, transparent and </w:t>
      </w:r>
      <w:proofErr w:type="gramStart"/>
      <w:r>
        <w:rPr>
          <w:i/>
        </w:rPr>
        <w:t>mutually-agreed</w:t>
      </w:r>
      <w:proofErr w:type="gramEnd"/>
      <w:r>
        <w:rPr>
          <w:i/>
        </w:rPr>
        <w:t xml:space="preserve"> strategic anchor</w:t>
      </w:r>
      <w:r>
        <w:rPr>
          <w:i/>
          <w:spacing w:val="-16"/>
        </w:rPr>
        <w:t xml:space="preserve"> </w:t>
      </w:r>
      <w:r>
        <w:rPr>
          <w:i/>
        </w:rPr>
        <w:t>points</w:t>
      </w:r>
      <w:r>
        <w:rPr>
          <w:i/>
          <w:spacing w:val="-12"/>
        </w:rPr>
        <w:t xml:space="preserve"> </w:t>
      </w:r>
      <w:r>
        <w:rPr>
          <w:i/>
        </w:rPr>
        <w:t>for</w:t>
      </w:r>
      <w:r>
        <w:rPr>
          <w:i/>
          <w:spacing w:val="-12"/>
        </w:rPr>
        <w:t xml:space="preserve"> </w:t>
      </w:r>
      <w:r>
        <w:rPr>
          <w:i/>
        </w:rPr>
        <w:t>post-COVID</w:t>
      </w:r>
      <w:r>
        <w:rPr>
          <w:i/>
          <w:spacing w:val="-12"/>
        </w:rPr>
        <w:t xml:space="preserve"> </w:t>
      </w:r>
      <w:r>
        <w:rPr>
          <w:i/>
        </w:rPr>
        <w:t>approaches</w:t>
      </w:r>
      <w:r>
        <w:rPr>
          <w:i/>
          <w:spacing w:val="-16"/>
        </w:rPr>
        <w:t xml:space="preserve"> </w:t>
      </w:r>
      <w:r>
        <w:rPr>
          <w:i/>
        </w:rPr>
        <w:t>to</w:t>
      </w:r>
      <w:r>
        <w:rPr>
          <w:i/>
          <w:spacing w:val="-13"/>
        </w:rPr>
        <w:t xml:space="preserve"> </w:t>
      </w:r>
      <w:r>
        <w:rPr>
          <w:i/>
        </w:rPr>
        <w:t>curriculum</w:t>
      </w:r>
      <w:r>
        <w:rPr>
          <w:i/>
          <w:spacing w:val="-12"/>
        </w:rPr>
        <w:t xml:space="preserve"> </w:t>
      </w:r>
      <w:r>
        <w:rPr>
          <w:i/>
        </w:rPr>
        <w:t>design,</w:t>
      </w:r>
      <w:r>
        <w:rPr>
          <w:i/>
          <w:spacing w:val="-10"/>
        </w:rPr>
        <w:t xml:space="preserve"> </w:t>
      </w:r>
      <w:r>
        <w:rPr>
          <w:i/>
        </w:rPr>
        <w:t>will</w:t>
      </w:r>
      <w:r>
        <w:rPr>
          <w:i/>
          <w:spacing w:val="-12"/>
        </w:rPr>
        <w:t xml:space="preserve"> </w:t>
      </w:r>
      <w:r>
        <w:rPr>
          <w:i/>
        </w:rPr>
        <w:t>be</w:t>
      </w:r>
      <w:r>
        <w:rPr>
          <w:i/>
          <w:spacing w:val="-9"/>
        </w:rPr>
        <w:t xml:space="preserve"> </w:t>
      </w:r>
      <w:r>
        <w:rPr>
          <w:i/>
        </w:rPr>
        <w:t>critical</w:t>
      </w:r>
      <w:r>
        <w:rPr>
          <w:i/>
          <w:spacing w:val="-12"/>
        </w:rPr>
        <w:t xml:space="preserve"> </w:t>
      </w:r>
      <w:r>
        <w:rPr>
          <w:i/>
        </w:rPr>
        <w:t>in</w:t>
      </w:r>
      <w:r>
        <w:rPr>
          <w:i/>
          <w:spacing w:val="-9"/>
        </w:rPr>
        <w:t xml:space="preserve"> </w:t>
      </w:r>
      <w:r>
        <w:rPr>
          <w:i/>
        </w:rPr>
        <w:t>balancing</w:t>
      </w:r>
      <w:r>
        <w:rPr>
          <w:i/>
          <w:spacing w:val="-9"/>
        </w:rPr>
        <w:t xml:space="preserve"> </w:t>
      </w:r>
      <w:r>
        <w:rPr>
          <w:i/>
        </w:rPr>
        <w:t>the needs of all stakeholders. This will allow the sector to move forward collectively with proper support from key sectoral partners.</w:t>
      </w:r>
    </w:p>
    <w:p w14:paraId="46992E4F" w14:textId="77777777" w:rsidR="000E61B1" w:rsidRDefault="000E61B1">
      <w:pPr>
        <w:pStyle w:val="BodyText"/>
        <w:rPr>
          <w:i/>
          <w:sz w:val="24"/>
        </w:rPr>
      </w:pPr>
    </w:p>
    <w:p w14:paraId="7D925B38" w14:textId="77777777" w:rsidR="000E61B1" w:rsidRDefault="000E61B1">
      <w:pPr>
        <w:pStyle w:val="BodyText"/>
        <w:rPr>
          <w:i/>
          <w:sz w:val="24"/>
        </w:rPr>
      </w:pPr>
    </w:p>
    <w:p w14:paraId="72C28155" w14:textId="77777777" w:rsidR="000E61B1" w:rsidRDefault="000E61B1">
      <w:pPr>
        <w:pStyle w:val="BodyText"/>
        <w:rPr>
          <w:i/>
          <w:sz w:val="24"/>
        </w:rPr>
      </w:pPr>
    </w:p>
    <w:p w14:paraId="2AE87BD0" w14:textId="77777777" w:rsidR="000E61B1" w:rsidRDefault="000E61B1">
      <w:pPr>
        <w:pStyle w:val="BodyText"/>
        <w:spacing w:before="6"/>
        <w:rPr>
          <w:i/>
          <w:sz w:val="34"/>
        </w:rPr>
      </w:pPr>
    </w:p>
    <w:p w14:paraId="33E29DA0" w14:textId="77777777" w:rsidR="000E61B1" w:rsidRDefault="00000000">
      <w:pPr>
        <w:pStyle w:val="BodyText"/>
        <w:spacing w:before="1" w:line="259" w:lineRule="auto"/>
        <w:ind w:left="220" w:right="218"/>
        <w:jc w:val="both"/>
      </w:pPr>
      <w:r>
        <w:t xml:space="preserve">As reported in the original SIS research report, </w:t>
      </w:r>
      <w:proofErr w:type="spellStart"/>
      <w:r>
        <w:t>Ofsted</w:t>
      </w:r>
      <w:proofErr w:type="spellEnd"/>
      <w:r>
        <w:t xml:space="preserve"> place great emphasis on the </w:t>
      </w:r>
      <w:r>
        <w:rPr>
          <w:b/>
        </w:rPr>
        <w:t xml:space="preserve">effectiveness of assessment </w:t>
      </w:r>
      <w:r>
        <w:t xml:space="preserve">when grading the Quality of Education in education and training providers. For leaders wanting to know more about how providers around the world </w:t>
      </w:r>
      <w:r>
        <w:rPr>
          <w:b/>
        </w:rPr>
        <w:t>are innovating with assessment methodologies</w:t>
      </w:r>
      <w:r>
        <w:t>, the Assessment Research Consortium (ARC) is a good place to start.</w:t>
      </w:r>
    </w:p>
    <w:p w14:paraId="17C5CC68" w14:textId="77777777" w:rsidR="000E61B1" w:rsidRDefault="00000000">
      <w:pPr>
        <w:spacing w:before="160" w:line="259" w:lineRule="auto"/>
        <w:ind w:left="220" w:right="207"/>
        <w:jc w:val="both"/>
      </w:pPr>
      <w:r>
        <w:rPr>
          <w:color w:val="373737"/>
        </w:rPr>
        <w:t>The</w:t>
      </w:r>
      <w:r>
        <w:rPr>
          <w:color w:val="373737"/>
          <w:spacing w:val="-16"/>
        </w:rPr>
        <w:t xml:space="preserve"> </w:t>
      </w:r>
      <w:r>
        <w:rPr>
          <w:b/>
          <w:color w:val="373737"/>
        </w:rPr>
        <w:t>Assessment</w:t>
      </w:r>
      <w:r>
        <w:rPr>
          <w:b/>
          <w:color w:val="373737"/>
          <w:spacing w:val="-15"/>
        </w:rPr>
        <w:t xml:space="preserve"> </w:t>
      </w:r>
      <w:r>
        <w:rPr>
          <w:b/>
          <w:color w:val="373737"/>
        </w:rPr>
        <w:t>Research</w:t>
      </w:r>
      <w:r>
        <w:rPr>
          <w:b/>
          <w:color w:val="373737"/>
          <w:spacing w:val="-15"/>
        </w:rPr>
        <w:t xml:space="preserve"> </w:t>
      </w:r>
      <w:r>
        <w:rPr>
          <w:b/>
          <w:color w:val="373737"/>
        </w:rPr>
        <w:t>Consortium</w:t>
      </w:r>
      <w:r>
        <w:rPr>
          <w:b/>
          <w:color w:val="373737"/>
          <w:spacing w:val="-16"/>
        </w:rPr>
        <w:t xml:space="preserve"> </w:t>
      </w:r>
      <w:r>
        <w:rPr>
          <w:b/>
          <w:color w:val="373737"/>
        </w:rPr>
        <w:t>(ARC)</w:t>
      </w:r>
      <w:r>
        <w:rPr>
          <w:color w:val="373737"/>
        </w:rPr>
        <w:t>.</w:t>
      </w:r>
      <w:r>
        <w:rPr>
          <w:color w:val="373737"/>
          <w:spacing w:val="-15"/>
        </w:rPr>
        <w:t xml:space="preserve"> </w:t>
      </w:r>
      <w:r>
        <w:rPr>
          <w:color w:val="373737"/>
        </w:rPr>
        <w:t>This</w:t>
      </w:r>
      <w:r>
        <w:rPr>
          <w:color w:val="373737"/>
          <w:spacing w:val="-15"/>
        </w:rPr>
        <w:t xml:space="preserve"> </w:t>
      </w:r>
      <w:r>
        <w:rPr>
          <w:color w:val="373737"/>
        </w:rPr>
        <w:t>think</w:t>
      </w:r>
      <w:r>
        <w:rPr>
          <w:color w:val="373737"/>
          <w:spacing w:val="-15"/>
        </w:rPr>
        <w:t xml:space="preserve"> </w:t>
      </w:r>
      <w:r>
        <w:rPr>
          <w:color w:val="373737"/>
        </w:rPr>
        <w:t>tank’s</w:t>
      </w:r>
      <w:r>
        <w:rPr>
          <w:color w:val="373737"/>
          <w:spacing w:val="-16"/>
        </w:rPr>
        <w:t xml:space="preserve"> </w:t>
      </w:r>
      <w:r>
        <w:rPr>
          <w:color w:val="373737"/>
        </w:rPr>
        <w:t>goal</w:t>
      </w:r>
      <w:r>
        <w:rPr>
          <w:color w:val="373737"/>
          <w:spacing w:val="-15"/>
        </w:rPr>
        <w:t xml:space="preserve"> </w:t>
      </w:r>
      <w:r>
        <w:rPr>
          <w:color w:val="373737"/>
        </w:rPr>
        <w:t>is</w:t>
      </w:r>
      <w:r>
        <w:rPr>
          <w:color w:val="373737"/>
          <w:spacing w:val="-15"/>
        </w:rPr>
        <w:t xml:space="preserve"> </w:t>
      </w:r>
      <w:r>
        <w:rPr>
          <w:color w:val="373737"/>
        </w:rPr>
        <w:t>to</w:t>
      </w:r>
      <w:r>
        <w:rPr>
          <w:color w:val="373737"/>
          <w:spacing w:val="-13"/>
        </w:rPr>
        <w:t xml:space="preserve"> </w:t>
      </w:r>
      <w:r>
        <w:rPr>
          <w:i/>
          <w:color w:val="373737"/>
        </w:rPr>
        <w:t>redesign</w:t>
      </w:r>
      <w:r>
        <w:rPr>
          <w:i/>
          <w:color w:val="373737"/>
          <w:spacing w:val="-14"/>
        </w:rPr>
        <w:t xml:space="preserve"> </w:t>
      </w:r>
      <w:r>
        <w:rPr>
          <w:i/>
          <w:color w:val="373737"/>
        </w:rPr>
        <w:t>systems of</w:t>
      </w:r>
      <w:r>
        <w:rPr>
          <w:i/>
          <w:color w:val="373737"/>
          <w:spacing w:val="-16"/>
        </w:rPr>
        <w:t xml:space="preserve"> </w:t>
      </w:r>
      <w:r>
        <w:rPr>
          <w:i/>
          <w:color w:val="373737"/>
        </w:rPr>
        <w:t>measuring</w:t>
      </w:r>
      <w:r>
        <w:rPr>
          <w:i/>
          <w:color w:val="373737"/>
          <w:spacing w:val="-14"/>
        </w:rPr>
        <w:t xml:space="preserve"> </w:t>
      </w:r>
      <w:r>
        <w:rPr>
          <w:i/>
          <w:color w:val="373737"/>
        </w:rPr>
        <w:t>Learners’</w:t>
      </w:r>
      <w:r>
        <w:rPr>
          <w:i/>
          <w:color w:val="373737"/>
          <w:spacing w:val="-16"/>
        </w:rPr>
        <w:t xml:space="preserve"> </w:t>
      </w:r>
      <w:r>
        <w:rPr>
          <w:i/>
          <w:color w:val="373737"/>
        </w:rPr>
        <w:t>progress,</w:t>
      </w:r>
      <w:r>
        <w:rPr>
          <w:i/>
          <w:color w:val="373737"/>
          <w:spacing w:val="-15"/>
        </w:rPr>
        <w:t xml:space="preserve"> </w:t>
      </w:r>
      <w:r>
        <w:rPr>
          <w:i/>
          <w:color w:val="373737"/>
        </w:rPr>
        <w:t>aligned</w:t>
      </w:r>
      <w:r>
        <w:rPr>
          <w:i/>
          <w:color w:val="373737"/>
          <w:spacing w:val="-13"/>
        </w:rPr>
        <w:t xml:space="preserve"> </w:t>
      </w:r>
      <w:r>
        <w:rPr>
          <w:i/>
          <w:color w:val="373737"/>
        </w:rPr>
        <w:t>to</w:t>
      </w:r>
      <w:r>
        <w:rPr>
          <w:i/>
          <w:color w:val="373737"/>
          <w:spacing w:val="-13"/>
        </w:rPr>
        <w:t xml:space="preserve"> </w:t>
      </w:r>
      <w:r>
        <w:rPr>
          <w:i/>
          <w:color w:val="373737"/>
        </w:rPr>
        <w:t>21st</w:t>
      </w:r>
      <w:r>
        <w:rPr>
          <w:i/>
          <w:color w:val="373737"/>
          <w:spacing w:val="-9"/>
        </w:rPr>
        <w:t xml:space="preserve"> </w:t>
      </w:r>
      <w:r>
        <w:rPr>
          <w:i/>
          <w:color w:val="373737"/>
        </w:rPr>
        <w:t>century</w:t>
      </w:r>
      <w:r>
        <w:rPr>
          <w:i/>
          <w:color w:val="373737"/>
          <w:spacing w:val="-10"/>
        </w:rPr>
        <w:t xml:space="preserve"> </w:t>
      </w:r>
      <w:r>
        <w:rPr>
          <w:i/>
          <w:color w:val="373737"/>
        </w:rPr>
        <w:t>competencies</w:t>
      </w:r>
      <w:r>
        <w:rPr>
          <w:i/>
          <w:color w:val="373737"/>
          <w:spacing w:val="-16"/>
        </w:rPr>
        <w:t xml:space="preserve"> </w:t>
      </w:r>
      <w:r>
        <w:rPr>
          <w:i/>
          <w:color w:val="373737"/>
        </w:rPr>
        <w:t>and</w:t>
      </w:r>
      <w:r>
        <w:rPr>
          <w:i/>
          <w:color w:val="373737"/>
          <w:spacing w:val="-13"/>
        </w:rPr>
        <w:t xml:space="preserve"> </w:t>
      </w:r>
      <w:r>
        <w:rPr>
          <w:i/>
          <w:color w:val="373737"/>
        </w:rPr>
        <w:t>desired</w:t>
      </w:r>
      <w:r>
        <w:rPr>
          <w:i/>
          <w:color w:val="373737"/>
          <w:spacing w:val="-13"/>
        </w:rPr>
        <w:t xml:space="preserve"> </w:t>
      </w:r>
      <w:r>
        <w:rPr>
          <w:i/>
          <w:color w:val="373737"/>
        </w:rPr>
        <w:t>education outcomes</w:t>
      </w:r>
      <w:r>
        <w:rPr>
          <w:color w:val="373737"/>
        </w:rPr>
        <w:t xml:space="preserve">. Leaders from governments, the private sector, academia, and non-profit organizations are members of the consortium, which collectively oversees key research projects to define “assessments for and as learning” across the four dimensions of: </w:t>
      </w:r>
      <w:hyperlink r:id="rId52">
        <w:r>
          <w:rPr>
            <w:color w:val="1882D1"/>
          </w:rPr>
          <w:t>Knowledge</w:t>
        </w:r>
      </w:hyperlink>
      <w:r>
        <w:rPr>
          <w:color w:val="373737"/>
        </w:rPr>
        <w:t xml:space="preserve">, </w:t>
      </w:r>
      <w:hyperlink r:id="rId53">
        <w:r>
          <w:rPr>
            <w:color w:val="1882D1"/>
          </w:rPr>
          <w:t>Skills</w:t>
        </w:r>
      </w:hyperlink>
      <w:r>
        <w:rPr>
          <w:color w:val="373737"/>
        </w:rPr>
        <w:t xml:space="preserve">, </w:t>
      </w:r>
      <w:hyperlink r:id="rId54">
        <w:r>
          <w:rPr>
            <w:color w:val="1882D1"/>
          </w:rPr>
          <w:t>Character</w:t>
        </w:r>
      </w:hyperlink>
      <w:r>
        <w:rPr>
          <w:color w:val="373737"/>
        </w:rPr>
        <w:t xml:space="preserve">, and </w:t>
      </w:r>
      <w:hyperlink r:id="rId55">
        <w:r>
          <w:rPr>
            <w:color w:val="1882D1"/>
          </w:rPr>
          <w:t>Meta-Learning</w:t>
        </w:r>
      </w:hyperlink>
      <w:r>
        <w:rPr>
          <w:color w:val="1882D1"/>
        </w:rPr>
        <w:t xml:space="preserve"> </w:t>
      </w:r>
      <w:r>
        <w:rPr>
          <w:color w:val="373737"/>
        </w:rPr>
        <w:t>(comprehensively described in “</w:t>
      </w:r>
      <w:hyperlink r:id="rId56">
        <w:r>
          <w:rPr>
            <w:color w:val="1882D1"/>
          </w:rPr>
          <w:t>Four-</w:t>
        </w:r>
      </w:hyperlink>
      <w:r>
        <w:rPr>
          <w:color w:val="1882D1"/>
        </w:rPr>
        <w:t xml:space="preserve"> </w:t>
      </w:r>
      <w:hyperlink r:id="rId57">
        <w:r>
          <w:rPr>
            <w:color w:val="1882D1"/>
          </w:rPr>
          <w:t>Dimensional Education</w:t>
        </w:r>
      </w:hyperlink>
      <w:r>
        <w:rPr>
          <w:color w:val="373737"/>
        </w:rPr>
        <w:t>“).</w:t>
      </w:r>
    </w:p>
    <w:p w14:paraId="1A3F7DFC" w14:textId="77777777" w:rsidR="000E61B1" w:rsidRDefault="00000000">
      <w:pPr>
        <w:pStyle w:val="BodyText"/>
        <w:spacing w:before="157"/>
        <w:ind w:left="220"/>
      </w:pPr>
      <w:r>
        <w:rPr>
          <w:color w:val="373737"/>
        </w:rPr>
        <w:t>Two</w:t>
      </w:r>
      <w:r>
        <w:rPr>
          <w:color w:val="373737"/>
          <w:spacing w:val="-6"/>
        </w:rPr>
        <w:t xml:space="preserve"> </w:t>
      </w:r>
      <w:r>
        <w:rPr>
          <w:color w:val="373737"/>
        </w:rPr>
        <w:t>very</w:t>
      </w:r>
      <w:r>
        <w:rPr>
          <w:color w:val="373737"/>
          <w:spacing w:val="-8"/>
        </w:rPr>
        <w:t xml:space="preserve"> </w:t>
      </w:r>
      <w:r>
        <w:rPr>
          <w:color w:val="373737"/>
        </w:rPr>
        <w:t>detailed</w:t>
      </w:r>
      <w:r>
        <w:rPr>
          <w:color w:val="373737"/>
          <w:spacing w:val="-3"/>
        </w:rPr>
        <w:t xml:space="preserve"> </w:t>
      </w:r>
      <w:r>
        <w:rPr>
          <w:color w:val="373737"/>
        </w:rPr>
        <w:t>landmark</w:t>
      </w:r>
      <w:r>
        <w:rPr>
          <w:color w:val="373737"/>
          <w:spacing w:val="-4"/>
        </w:rPr>
        <w:t xml:space="preserve"> </w:t>
      </w:r>
      <w:r>
        <w:rPr>
          <w:color w:val="373737"/>
        </w:rPr>
        <w:t>reports</w:t>
      </w:r>
      <w:r>
        <w:rPr>
          <w:color w:val="373737"/>
          <w:spacing w:val="-9"/>
        </w:rPr>
        <w:t xml:space="preserve"> </w:t>
      </w:r>
      <w:r>
        <w:rPr>
          <w:color w:val="373737"/>
        </w:rPr>
        <w:t>are</w:t>
      </w:r>
      <w:r>
        <w:rPr>
          <w:color w:val="373737"/>
          <w:spacing w:val="-7"/>
        </w:rPr>
        <w:t xml:space="preserve"> </w:t>
      </w:r>
      <w:r>
        <w:rPr>
          <w:color w:val="373737"/>
        </w:rPr>
        <w:t>now</w:t>
      </w:r>
      <w:r>
        <w:rPr>
          <w:color w:val="373737"/>
          <w:spacing w:val="-5"/>
        </w:rPr>
        <w:t xml:space="preserve"> </w:t>
      </w:r>
      <w:r>
        <w:rPr>
          <w:color w:val="373737"/>
        </w:rPr>
        <w:t>available</w:t>
      </w:r>
      <w:r>
        <w:rPr>
          <w:color w:val="373737"/>
          <w:spacing w:val="-7"/>
        </w:rPr>
        <w:t xml:space="preserve"> </w:t>
      </w:r>
      <w:r>
        <w:rPr>
          <w:color w:val="373737"/>
        </w:rPr>
        <w:t>from</w:t>
      </w:r>
      <w:r>
        <w:rPr>
          <w:color w:val="373737"/>
          <w:spacing w:val="-6"/>
        </w:rPr>
        <w:t xml:space="preserve"> </w:t>
      </w:r>
      <w:r>
        <w:rPr>
          <w:color w:val="373737"/>
        </w:rPr>
        <w:t>their</w:t>
      </w:r>
      <w:r>
        <w:rPr>
          <w:color w:val="373737"/>
          <w:spacing w:val="-5"/>
        </w:rPr>
        <w:t xml:space="preserve"> </w:t>
      </w:r>
      <w:r>
        <w:rPr>
          <w:color w:val="373737"/>
          <w:spacing w:val="-2"/>
        </w:rPr>
        <w:t>website:</w:t>
      </w:r>
    </w:p>
    <w:p w14:paraId="10D0FBF9" w14:textId="77777777" w:rsidR="000E61B1" w:rsidRDefault="000E61B1">
      <w:pPr>
        <w:pStyle w:val="BodyText"/>
        <w:spacing w:before="2"/>
        <w:rPr>
          <w:sz w:val="33"/>
        </w:rPr>
      </w:pPr>
    </w:p>
    <w:p w14:paraId="3C5F479D" w14:textId="77777777" w:rsidR="000E61B1" w:rsidRDefault="00000000">
      <w:pPr>
        <w:pStyle w:val="BodyText"/>
        <w:spacing w:line="259" w:lineRule="auto"/>
        <w:ind w:left="220" w:right="212"/>
        <w:jc w:val="both"/>
      </w:pPr>
      <w:r>
        <w:rPr>
          <w:i/>
          <w:color w:val="373737"/>
        </w:rPr>
        <w:t>Evolving Assessments for the 21</w:t>
      </w:r>
      <w:r>
        <w:rPr>
          <w:i/>
          <w:color w:val="373737"/>
          <w:vertAlign w:val="superscript"/>
        </w:rPr>
        <w:t>st</w:t>
      </w:r>
      <w:r>
        <w:rPr>
          <w:i/>
          <w:color w:val="373737"/>
        </w:rPr>
        <w:t xml:space="preserve"> Century (2016) </w:t>
      </w:r>
      <w:r>
        <w:rPr>
          <w:color w:val="373737"/>
          <w:vertAlign w:val="superscript"/>
        </w:rPr>
        <w:t>12</w:t>
      </w:r>
      <w:r>
        <w:rPr>
          <w:color w:val="373737"/>
        </w:rPr>
        <w:t>– For schools to higher education to workforce development/lifelong learning, of interest to all three demographics, from administrators</w:t>
      </w:r>
      <w:r>
        <w:rPr>
          <w:color w:val="373737"/>
          <w:spacing w:val="-1"/>
        </w:rPr>
        <w:t xml:space="preserve"> </w:t>
      </w:r>
      <w:r>
        <w:rPr>
          <w:color w:val="373737"/>
        </w:rPr>
        <w:t xml:space="preserve">to instructors. </w:t>
      </w:r>
      <w:r>
        <w:t xml:space="preserve">The resource </w:t>
      </w:r>
      <w:r>
        <w:rPr>
          <w:color w:val="373737"/>
        </w:rPr>
        <w:t>covers</w:t>
      </w:r>
      <w:r>
        <w:rPr>
          <w:color w:val="373737"/>
          <w:spacing w:val="-6"/>
        </w:rPr>
        <w:t xml:space="preserve"> </w:t>
      </w:r>
      <w:r>
        <w:rPr>
          <w:color w:val="373737"/>
        </w:rPr>
        <w:t>what we</w:t>
      </w:r>
      <w:r>
        <w:rPr>
          <w:color w:val="373737"/>
          <w:spacing w:val="-4"/>
        </w:rPr>
        <w:t xml:space="preserve"> </w:t>
      </w:r>
      <w:r>
        <w:rPr>
          <w:color w:val="373737"/>
        </w:rPr>
        <w:t>assess, why</w:t>
      </w:r>
      <w:r>
        <w:rPr>
          <w:color w:val="373737"/>
          <w:spacing w:val="-1"/>
        </w:rPr>
        <w:t xml:space="preserve"> </w:t>
      </w:r>
      <w:r>
        <w:rPr>
          <w:color w:val="373737"/>
        </w:rPr>
        <w:t>we assess, and</w:t>
      </w:r>
      <w:r>
        <w:rPr>
          <w:color w:val="373737"/>
          <w:spacing w:val="-4"/>
        </w:rPr>
        <w:t xml:space="preserve"> </w:t>
      </w:r>
      <w:r>
        <w:rPr>
          <w:color w:val="373737"/>
        </w:rPr>
        <w:t xml:space="preserve">how we assess. It provides an in-depth analysis of how key skills can be assessed in </w:t>
      </w:r>
      <w:proofErr w:type="gramStart"/>
      <w:r>
        <w:rPr>
          <w:color w:val="373737"/>
        </w:rPr>
        <w:t>Post-16</w:t>
      </w:r>
      <w:proofErr w:type="gramEnd"/>
      <w:r>
        <w:rPr>
          <w:color w:val="373737"/>
        </w:rPr>
        <w:t xml:space="preserve"> education settings:</w:t>
      </w:r>
    </w:p>
    <w:p w14:paraId="2E4B28CE" w14:textId="77777777" w:rsidR="000E61B1" w:rsidRDefault="000E61B1">
      <w:pPr>
        <w:pStyle w:val="BodyText"/>
        <w:spacing w:before="6"/>
        <w:rPr>
          <w:sz w:val="23"/>
        </w:rPr>
      </w:pPr>
    </w:p>
    <w:p w14:paraId="1469275A" w14:textId="77777777" w:rsidR="000E61B1" w:rsidRDefault="00000000">
      <w:pPr>
        <w:pStyle w:val="ListParagraph"/>
        <w:numPr>
          <w:ilvl w:val="0"/>
          <w:numId w:val="1"/>
        </w:numPr>
        <w:tabs>
          <w:tab w:val="left" w:pos="940"/>
          <w:tab w:val="left" w:pos="941"/>
        </w:tabs>
        <w:rPr>
          <w:rFonts w:ascii="Symbol" w:hAnsi="Symbol"/>
          <w:color w:val="373737"/>
        </w:rPr>
      </w:pPr>
      <w:r>
        <w:rPr>
          <w:color w:val="373737"/>
        </w:rPr>
        <w:t>Creativity</w:t>
      </w:r>
      <w:r>
        <w:rPr>
          <w:color w:val="373737"/>
          <w:spacing w:val="-13"/>
        </w:rPr>
        <w:t xml:space="preserve"> </w:t>
      </w:r>
      <w:r>
        <w:rPr>
          <w:color w:val="373737"/>
        </w:rPr>
        <w:t>–</w:t>
      </w:r>
      <w:r>
        <w:rPr>
          <w:color w:val="373737"/>
          <w:spacing w:val="-6"/>
        </w:rPr>
        <w:t xml:space="preserve"> </w:t>
      </w:r>
      <w:r>
        <w:rPr>
          <w:color w:val="373737"/>
        </w:rPr>
        <w:t>creative/divergent</w:t>
      </w:r>
      <w:r>
        <w:rPr>
          <w:color w:val="373737"/>
          <w:spacing w:val="-10"/>
        </w:rPr>
        <w:t xml:space="preserve"> </w:t>
      </w:r>
      <w:r>
        <w:rPr>
          <w:color w:val="373737"/>
        </w:rPr>
        <w:t>thinking,</w:t>
      </w:r>
      <w:r>
        <w:rPr>
          <w:color w:val="373737"/>
          <w:spacing w:val="-7"/>
        </w:rPr>
        <w:t xml:space="preserve"> </w:t>
      </w:r>
      <w:r>
        <w:rPr>
          <w:color w:val="373737"/>
        </w:rPr>
        <w:t>creative</w:t>
      </w:r>
      <w:r>
        <w:rPr>
          <w:color w:val="373737"/>
          <w:spacing w:val="-10"/>
        </w:rPr>
        <w:t xml:space="preserve"> </w:t>
      </w:r>
      <w:r>
        <w:rPr>
          <w:color w:val="373737"/>
        </w:rPr>
        <w:t>problem</w:t>
      </w:r>
      <w:r>
        <w:rPr>
          <w:color w:val="373737"/>
          <w:spacing w:val="-8"/>
        </w:rPr>
        <w:t xml:space="preserve"> </w:t>
      </w:r>
      <w:r>
        <w:rPr>
          <w:color w:val="373737"/>
          <w:spacing w:val="-2"/>
        </w:rPr>
        <w:t>solving</w:t>
      </w:r>
    </w:p>
    <w:p w14:paraId="21176A3C" w14:textId="77777777" w:rsidR="000E61B1" w:rsidRDefault="00000000">
      <w:pPr>
        <w:pStyle w:val="ListParagraph"/>
        <w:numPr>
          <w:ilvl w:val="0"/>
          <w:numId w:val="1"/>
        </w:numPr>
        <w:tabs>
          <w:tab w:val="left" w:pos="940"/>
          <w:tab w:val="left" w:pos="941"/>
        </w:tabs>
        <w:spacing w:before="18" w:line="256" w:lineRule="auto"/>
        <w:ind w:right="219"/>
        <w:rPr>
          <w:rFonts w:ascii="Symbol" w:hAnsi="Symbol"/>
          <w:color w:val="373737"/>
        </w:rPr>
      </w:pPr>
      <w:r>
        <w:rPr>
          <w:color w:val="373737"/>
        </w:rPr>
        <w:t>Critical</w:t>
      </w:r>
      <w:r>
        <w:rPr>
          <w:color w:val="373737"/>
          <w:spacing w:val="-11"/>
        </w:rPr>
        <w:t xml:space="preserve"> </w:t>
      </w:r>
      <w:r>
        <w:rPr>
          <w:color w:val="373737"/>
        </w:rPr>
        <w:t>Thinking</w:t>
      </w:r>
      <w:r>
        <w:rPr>
          <w:color w:val="373737"/>
          <w:spacing w:val="-6"/>
        </w:rPr>
        <w:t xml:space="preserve"> </w:t>
      </w:r>
      <w:r>
        <w:rPr>
          <w:color w:val="373737"/>
        </w:rPr>
        <w:t>–</w:t>
      </w:r>
      <w:r>
        <w:rPr>
          <w:color w:val="373737"/>
          <w:spacing w:val="-8"/>
        </w:rPr>
        <w:t xml:space="preserve"> </w:t>
      </w:r>
      <w:r>
        <w:rPr>
          <w:color w:val="373737"/>
        </w:rPr>
        <w:t>reasoning/analysis,</w:t>
      </w:r>
      <w:r>
        <w:rPr>
          <w:color w:val="373737"/>
          <w:spacing w:val="-9"/>
        </w:rPr>
        <w:t xml:space="preserve"> </w:t>
      </w:r>
      <w:r>
        <w:rPr>
          <w:color w:val="373737"/>
        </w:rPr>
        <w:t>systems</w:t>
      </w:r>
      <w:r>
        <w:rPr>
          <w:color w:val="373737"/>
          <w:spacing w:val="-10"/>
        </w:rPr>
        <w:t xml:space="preserve"> </w:t>
      </w:r>
      <w:r>
        <w:rPr>
          <w:color w:val="373737"/>
        </w:rPr>
        <w:t>thinking,</w:t>
      </w:r>
      <w:r>
        <w:rPr>
          <w:color w:val="373737"/>
          <w:spacing w:val="-9"/>
        </w:rPr>
        <w:t xml:space="preserve"> </w:t>
      </w:r>
      <w:r>
        <w:rPr>
          <w:color w:val="373737"/>
        </w:rPr>
        <w:t>making</w:t>
      </w:r>
      <w:r>
        <w:rPr>
          <w:color w:val="373737"/>
          <w:spacing w:val="-8"/>
        </w:rPr>
        <w:t xml:space="preserve"> </w:t>
      </w:r>
      <w:r>
        <w:rPr>
          <w:color w:val="373737"/>
        </w:rPr>
        <w:t>judgments/decisions, critical problem solving</w:t>
      </w:r>
    </w:p>
    <w:p w14:paraId="1A533EAA" w14:textId="77777777" w:rsidR="000E61B1" w:rsidRDefault="00000000">
      <w:pPr>
        <w:pStyle w:val="ListParagraph"/>
        <w:numPr>
          <w:ilvl w:val="0"/>
          <w:numId w:val="1"/>
        </w:numPr>
        <w:tabs>
          <w:tab w:val="left" w:pos="940"/>
          <w:tab w:val="left" w:pos="941"/>
        </w:tabs>
        <w:spacing w:before="3"/>
        <w:rPr>
          <w:rFonts w:ascii="Symbol" w:hAnsi="Symbol"/>
          <w:color w:val="373737"/>
        </w:rPr>
      </w:pPr>
      <w:r>
        <w:rPr>
          <w:color w:val="373737"/>
        </w:rPr>
        <w:t>Communication</w:t>
      </w:r>
      <w:r>
        <w:rPr>
          <w:color w:val="373737"/>
          <w:spacing w:val="-2"/>
        </w:rPr>
        <w:t xml:space="preserve"> </w:t>
      </w:r>
      <w:r>
        <w:rPr>
          <w:color w:val="373737"/>
        </w:rPr>
        <w:t>–</w:t>
      </w:r>
      <w:r>
        <w:rPr>
          <w:color w:val="373737"/>
          <w:spacing w:val="-7"/>
        </w:rPr>
        <w:t xml:space="preserve"> </w:t>
      </w:r>
      <w:r>
        <w:rPr>
          <w:color w:val="373737"/>
        </w:rPr>
        <w:t>reading</w:t>
      </w:r>
      <w:r>
        <w:rPr>
          <w:color w:val="373737"/>
          <w:spacing w:val="-7"/>
        </w:rPr>
        <w:t xml:space="preserve"> </w:t>
      </w:r>
      <w:r>
        <w:rPr>
          <w:color w:val="373737"/>
        </w:rPr>
        <w:t>&amp;</w:t>
      </w:r>
      <w:r>
        <w:rPr>
          <w:color w:val="373737"/>
          <w:spacing w:val="-4"/>
        </w:rPr>
        <w:t xml:space="preserve"> </w:t>
      </w:r>
      <w:r>
        <w:rPr>
          <w:color w:val="373737"/>
        </w:rPr>
        <w:t>writing,</w:t>
      </w:r>
      <w:r>
        <w:rPr>
          <w:color w:val="373737"/>
          <w:spacing w:val="-4"/>
        </w:rPr>
        <w:t xml:space="preserve"> </w:t>
      </w:r>
      <w:r>
        <w:rPr>
          <w:color w:val="373737"/>
        </w:rPr>
        <w:t>speaking</w:t>
      </w:r>
      <w:r>
        <w:rPr>
          <w:color w:val="373737"/>
          <w:spacing w:val="-7"/>
        </w:rPr>
        <w:t xml:space="preserve"> </w:t>
      </w:r>
      <w:r>
        <w:rPr>
          <w:color w:val="373737"/>
        </w:rPr>
        <w:t>&amp;</w:t>
      </w:r>
      <w:r>
        <w:rPr>
          <w:color w:val="373737"/>
          <w:spacing w:val="-4"/>
        </w:rPr>
        <w:t xml:space="preserve"> </w:t>
      </w:r>
      <w:r>
        <w:rPr>
          <w:color w:val="373737"/>
        </w:rPr>
        <w:t>listening,</w:t>
      </w:r>
      <w:r>
        <w:rPr>
          <w:color w:val="373737"/>
          <w:spacing w:val="-13"/>
        </w:rPr>
        <w:t xml:space="preserve"> </w:t>
      </w:r>
      <w:r>
        <w:rPr>
          <w:color w:val="373737"/>
        </w:rPr>
        <w:t>media</w:t>
      </w:r>
      <w:r>
        <w:rPr>
          <w:color w:val="373737"/>
          <w:spacing w:val="-7"/>
        </w:rPr>
        <w:t xml:space="preserve"> </w:t>
      </w:r>
      <w:r>
        <w:rPr>
          <w:color w:val="373737"/>
          <w:spacing w:val="-5"/>
        </w:rPr>
        <w:t>use</w:t>
      </w:r>
    </w:p>
    <w:p w14:paraId="0697C273" w14:textId="77777777" w:rsidR="000E61B1" w:rsidRDefault="00000000">
      <w:pPr>
        <w:pStyle w:val="ListParagraph"/>
        <w:numPr>
          <w:ilvl w:val="0"/>
          <w:numId w:val="1"/>
        </w:numPr>
        <w:tabs>
          <w:tab w:val="left" w:pos="940"/>
          <w:tab w:val="left" w:pos="941"/>
        </w:tabs>
        <w:spacing w:before="18"/>
        <w:rPr>
          <w:rFonts w:ascii="Symbol" w:hAnsi="Symbol"/>
          <w:color w:val="373737"/>
        </w:rPr>
      </w:pPr>
      <w:r>
        <w:rPr>
          <w:color w:val="373737"/>
        </w:rPr>
        <w:t>Collaboration</w:t>
      </w:r>
      <w:r>
        <w:rPr>
          <w:color w:val="373737"/>
          <w:spacing w:val="-6"/>
        </w:rPr>
        <w:t xml:space="preserve"> </w:t>
      </w:r>
      <w:r>
        <w:rPr>
          <w:color w:val="373737"/>
        </w:rPr>
        <w:t>-–</w:t>
      </w:r>
      <w:r>
        <w:rPr>
          <w:color w:val="373737"/>
          <w:spacing w:val="-9"/>
        </w:rPr>
        <w:t xml:space="preserve"> </w:t>
      </w:r>
      <w:r>
        <w:rPr>
          <w:color w:val="373737"/>
        </w:rPr>
        <w:t>teamwork,</w:t>
      </w:r>
      <w:r>
        <w:rPr>
          <w:color w:val="373737"/>
          <w:spacing w:val="-10"/>
        </w:rPr>
        <w:t xml:space="preserve"> </w:t>
      </w:r>
      <w:r>
        <w:rPr>
          <w:color w:val="373737"/>
        </w:rPr>
        <w:t>collaborative</w:t>
      </w:r>
      <w:r>
        <w:rPr>
          <w:color w:val="373737"/>
          <w:spacing w:val="-10"/>
        </w:rPr>
        <w:t xml:space="preserve"> </w:t>
      </w:r>
      <w:r>
        <w:rPr>
          <w:color w:val="373737"/>
        </w:rPr>
        <w:t>problem</w:t>
      </w:r>
      <w:r>
        <w:rPr>
          <w:color w:val="373737"/>
          <w:spacing w:val="-8"/>
        </w:rPr>
        <w:t xml:space="preserve"> </w:t>
      </w:r>
      <w:r>
        <w:rPr>
          <w:color w:val="373737"/>
          <w:spacing w:val="-2"/>
        </w:rPr>
        <w:t>solving</w:t>
      </w:r>
    </w:p>
    <w:p w14:paraId="070B5C38" w14:textId="77777777" w:rsidR="000E61B1" w:rsidRDefault="00000000">
      <w:pPr>
        <w:pStyle w:val="BodyText"/>
        <w:spacing w:before="19"/>
        <w:ind w:left="220"/>
      </w:pPr>
      <w:r>
        <w:rPr>
          <w:color w:val="373737"/>
        </w:rPr>
        <w:t>The</w:t>
      </w:r>
      <w:r>
        <w:rPr>
          <w:color w:val="373737"/>
          <w:spacing w:val="24"/>
        </w:rPr>
        <w:t xml:space="preserve"> </w:t>
      </w:r>
      <w:r>
        <w:rPr>
          <w:color w:val="373737"/>
        </w:rPr>
        <w:t>resource</w:t>
      </w:r>
      <w:r>
        <w:rPr>
          <w:color w:val="373737"/>
          <w:spacing w:val="27"/>
        </w:rPr>
        <w:t xml:space="preserve"> </w:t>
      </w:r>
      <w:r>
        <w:rPr>
          <w:color w:val="373737"/>
        </w:rPr>
        <w:t>also</w:t>
      </w:r>
      <w:r>
        <w:rPr>
          <w:color w:val="373737"/>
          <w:spacing w:val="27"/>
        </w:rPr>
        <w:t xml:space="preserve"> </w:t>
      </w:r>
      <w:r>
        <w:rPr>
          <w:color w:val="373737"/>
        </w:rPr>
        <w:t>reports</w:t>
      </w:r>
      <w:r>
        <w:rPr>
          <w:color w:val="373737"/>
          <w:spacing w:val="25"/>
        </w:rPr>
        <w:t xml:space="preserve"> </w:t>
      </w:r>
      <w:r>
        <w:rPr>
          <w:color w:val="373737"/>
        </w:rPr>
        <w:t>on</w:t>
      </w:r>
      <w:r>
        <w:rPr>
          <w:color w:val="373737"/>
          <w:spacing w:val="26"/>
        </w:rPr>
        <w:t xml:space="preserve"> </w:t>
      </w:r>
      <w:r>
        <w:rPr>
          <w:color w:val="373737"/>
        </w:rPr>
        <w:t>a</w:t>
      </w:r>
      <w:r>
        <w:rPr>
          <w:color w:val="373737"/>
          <w:spacing w:val="27"/>
        </w:rPr>
        <w:t xml:space="preserve"> </w:t>
      </w:r>
      <w:r>
        <w:rPr>
          <w:color w:val="373737"/>
        </w:rPr>
        <w:t>range</w:t>
      </w:r>
      <w:r>
        <w:rPr>
          <w:color w:val="373737"/>
          <w:spacing w:val="27"/>
        </w:rPr>
        <w:t xml:space="preserve"> </w:t>
      </w:r>
      <w:r>
        <w:rPr>
          <w:color w:val="373737"/>
        </w:rPr>
        <w:t>of</w:t>
      </w:r>
      <w:r>
        <w:rPr>
          <w:color w:val="373737"/>
          <w:spacing w:val="21"/>
        </w:rPr>
        <w:t xml:space="preserve"> </w:t>
      </w:r>
      <w:r>
        <w:rPr>
          <w:color w:val="373737"/>
        </w:rPr>
        <w:t>tools</w:t>
      </w:r>
      <w:r>
        <w:rPr>
          <w:color w:val="373737"/>
          <w:spacing w:val="25"/>
        </w:rPr>
        <w:t xml:space="preserve"> </w:t>
      </w:r>
      <w:r>
        <w:rPr>
          <w:color w:val="373737"/>
        </w:rPr>
        <w:t>available</w:t>
      </w:r>
      <w:r>
        <w:rPr>
          <w:color w:val="373737"/>
          <w:spacing w:val="26"/>
        </w:rPr>
        <w:t xml:space="preserve"> </w:t>
      </w:r>
      <w:r>
        <w:rPr>
          <w:color w:val="373737"/>
        </w:rPr>
        <w:t>to</w:t>
      </w:r>
      <w:r>
        <w:rPr>
          <w:color w:val="373737"/>
          <w:spacing w:val="27"/>
        </w:rPr>
        <w:t xml:space="preserve"> </w:t>
      </w:r>
      <w:r>
        <w:rPr>
          <w:color w:val="373737"/>
        </w:rPr>
        <w:t>support</w:t>
      </w:r>
      <w:r>
        <w:rPr>
          <w:color w:val="373737"/>
          <w:spacing w:val="21"/>
        </w:rPr>
        <w:t xml:space="preserve"> </w:t>
      </w:r>
      <w:r>
        <w:rPr>
          <w:color w:val="373737"/>
        </w:rPr>
        <w:t>providers</w:t>
      </w:r>
      <w:r>
        <w:rPr>
          <w:color w:val="373737"/>
          <w:spacing w:val="25"/>
        </w:rPr>
        <w:t xml:space="preserve"> </w:t>
      </w:r>
      <w:r>
        <w:rPr>
          <w:color w:val="373737"/>
        </w:rPr>
        <w:t>in</w:t>
      </w:r>
      <w:r>
        <w:rPr>
          <w:color w:val="373737"/>
          <w:spacing w:val="27"/>
        </w:rPr>
        <w:t xml:space="preserve"> </w:t>
      </w:r>
      <w:r>
        <w:rPr>
          <w:color w:val="373737"/>
          <w:spacing w:val="-2"/>
        </w:rPr>
        <w:t>assessing</w:t>
      </w:r>
    </w:p>
    <w:p w14:paraId="59DD8AC9" w14:textId="77777777" w:rsidR="000E61B1" w:rsidRDefault="00000000">
      <w:pPr>
        <w:pStyle w:val="BodyText"/>
        <w:spacing w:before="22"/>
        <w:ind w:left="220"/>
      </w:pPr>
      <w:r>
        <w:rPr>
          <w:color w:val="373737"/>
        </w:rPr>
        <w:t>‘resilience’</w:t>
      </w:r>
      <w:r>
        <w:rPr>
          <w:color w:val="373737"/>
          <w:spacing w:val="-9"/>
        </w:rPr>
        <w:t xml:space="preserve"> </w:t>
      </w:r>
      <w:r>
        <w:rPr>
          <w:color w:val="373737"/>
        </w:rPr>
        <w:t>and</w:t>
      </w:r>
      <w:r>
        <w:rPr>
          <w:color w:val="373737"/>
          <w:spacing w:val="-2"/>
        </w:rPr>
        <w:t xml:space="preserve"> ‘character’.</w:t>
      </w:r>
    </w:p>
    <w:p w14:paraId="232234F0" w14:textId="77777777" w:rsidR="000E61B1" w:rsidRDefault="000E61B1">
      <w:pPr>
        <w:pStyle w:val="BodyText"/>
        <w:rPr>
          <w:sz w:val="20"/>
        </w:rPr>
      </w:pPr>
    </w:p>
    <w:p w14:paraId="72558E96" w14:textId="77777777" w:rsidR="000E61B1" w:rsidRDefault="000E61B1">
      <w:pPr>
        <w:pStyle w:val="BodyText"/>
        <w:rPr>
          <w:sz w:val="20"/>
        </w:rPr>
      </w:pPr>
    </w:p>
    <w:p w14:paraId="574C018F" w14:textId="77777777" w:rsidR="000E61B1" w:rsidRDefault="000E61B1">
      <w:pPr>
        <w:pStyle w:val="BodyText"/>
        <w:rPr>
          <w:sz w:val="20"/>
        </w:rPr>
      </w:pPr>
    </w:p>
    <w:p w14:paraId="19E4A88A" w14:textId="77777777" w:rsidR="000E61B1" w:rsidRDefault="000E61B1">
      <w:pPr>
        <w:pStyle w:val="BodyText"/>
        <w:rPr>
          <w:sz w:val="20"/>
        </w:rPr>
      </w:pPr>
    </w:p>
    <w:p w14:paraId="74226496" w14:textId="77777777" w:rsidR="000E61B1" w:rsidRDefault="00000000">
      <w:pPr>
        <w:pStyle w:val="BodyText"/>
        <w:rPr>
          <w:sz w:val="29"/>
        </w:rPr>
      </w:pPr>
      <w:r>
        <w:pict w14:anchorId="1E4760F5">
          <v:rect id="docshape7" o:spid="_x0000_s2055" style="position:absolute;margin-left:1in;margin-top:17.9pt;width:144.05pt;height:.7pt;z-index:-15725056;mso-wrap-distance-left:0;mso-wrap-distance-right:0;mso-position-horizontal-relative:page" fillcolor="black" stroked="f">
            <w10:wrap type="topAndBottom" anchorx="page"/>
          </v:rect>
        </w:pict>
      </w:r>
    </w:p>
    <w:p w14:paraId="6679C002" w14:textId="77777777" w:rsidR="000E61B1" w:rsidRDefault="00000000">
      <w:pPr>
        <w:spacing w:before="103"/>
        <w:ind w:left="220"/>
        <w:rPr>
          <w:sz w:val="20"/>
        </w:rPr>
      </w:pPr>
      <w:r>
        <w:rPr>
          <w:rFonts w:ascii="Calibri"/>
          <w:sz w:val="20"/>
          <w:vertAlign w:val="superscript"/>
        </w:rPr>
        <w:t>12</w:t>
      </w:r>
      <w:r>
        <w:rPr>
          <w:rFonts w:ascii="Calibri"/>
          <w:sz w:val="20"/>
        </w:rPr>
        <w:t xml:space="preserve"> </w:t>
      </w:r>
      <w:hyperlink r:id="rId58">
        <w:r>
          <w:rPr>
            <w:color w:val="1882D1"/>
            <w:sz w:val="20"/>
          </w:rPr>
          <w:t>Evolving</w:t>
        </w:r>
        <w:r>
          <w:rPr>
            <w:color w:val="1882D1"/>
            <w:spacing w:val="-4"/>
            <w:sz w:val="20"/>
          </w:rPr>
          <w:t xml:space="preserve"> </w:t>
        </w:r>
        <w:r>
          <w:rPr>
            <w:color w:val="1882D1"/>
            <w:sz w:val="20"/>
          </w:rPr>
          <w:t>Assessments</w:t>
        </w:r>
        <w:r>
          <w:rPr>
            <w:color w:val="1882D1"/>
            <w:spacing w:val="-7"/>
            <w:sz w:val="20"/>
          </w:rPr>
          <w:t xml:space="preserve"> </w:t>
        </w:r>
        <w:r>
          <w:rPr>
            <w:color w:val="1882D1"/>
            <w:sz w:val="20"/>
          </w:rPr>
          <w:t>for</w:t>
        </w:r>
        <w:r>
          <w:rPr>
            <w:color w:val="1882D1"/>
            <w:spacing w:val="-4"/>
            <w:sz w:val="20"/>
          </w:rPr>
          <w:t xml:space="preserve"> </w:t>
        </w:r>
        <w:r>
          <w:rPr>
            <w:color w:val="1882D1"/>
            <w:sz w:val="20"/>
          </w:rPr>
          <w:t>the</w:t>
        </w:r>
        <w:r>
          <w:rPr>
            <w:color w:val="1882D1"/>
            <w:spacing w:val="-8"/>
            <w:sz w:val="20"/>
          </w:rPr>
          <w:t xml:space="preserve"> </w:t>
        </w:r>
        <w:r>
          <w:rPr>
            <w:color w:val="1882D1"/>
            <w:sz w:val="20"/>
          </w:rPr>
          <w:t>21st</w:t>
        </w:r>
        <w:r>
          <w:rPr>
            <w:color w:val="1882D1"/>
            <w:spacing w:val="-2"/>
            <w:sz w:val="20"/>
          </w:rPr>
          <w:t xml:space="preserve"> Century</w:t>
        </w:r>
      </w:hyperlink>
    </w:p>
    <w:p w14:paraId="67C7EDC2" w14:textId="77777777" w:rsidR="000E61B1" w:rsidRDefault="000E61B1">
      <w:pPr>
        <w:rPr>
          <w:sz w:val="20"/>
        </w:rPr>
        <w:sectPr w:rsidR="000E61B1">
          <w:pgSz w:w="11910" w:h="16840"/>
          <w:pgMar w:top="1400" w:right="1220" w:bottom="280" w:left="1220" w:header="708" w:footer="0" w:gutter="0"/>
          <w:cols w:space="720"/>
        </w:sectPr>
      </w:pPr>
    </w:p>
    <w:p w14:paraId="7BF90DEE" w14:textId="77777777" w:rsidR="000E61B1" w:rsidRDefault="00000000">
      <w:pPr>
        <w:spacing w:before="30" w:line="259" w:lineRule="auto"/>
        <w:ind w:left="220" w:right="212"/>
        <w:jc w:val="both"/>
      </w:pPr>
      <w:hyperlink r:id="rId59">
        <w:r>
          <w:rPr>
            <w:i/>
          </w:rPr>
          <w:t xml:space="preserve">Workforce Assessments – What do we </w:t>
        </w:r>
        <w:proofErr w:type="gramStart"/>
        <w:r>
          <w:rPr>
            <w:i/>
          </w:rPr>
          <w:t>actually measure</w:t>
        </w:r>
        <w:proofErr w:type="gramEnd"/>
      </w:hyperlink>
      <w:r>
        <w:rPr>
          <w:i/>
          <w:vertAlign w:val="superscript"/>
        </w:rPr>
        <w:t>13</w:t>
      </w:r>
      <w:r>
        <w:rPr>
          <w:b/>
          <w:color w:val="373737"/>
        </w:rPr>
        <w:t xml:space="preserve">: </w:t>
      </w:r>
      <w:r>
        <w:rPr>
          <w:color w:val="373737"/>
        </w:rPr>
        <w:t>As above but specifically written for</w:t>
      </w:r>
      <w:r>
        <w:rPr>
          <w:color w:val="373737"/>
          <w:spacing w:val="-14"/>
        </w:rPr>
        <w:t xml:space="preserve"> </w:t>
      </w:r>
      <w:r>
        <w:rPr>
          <w:color w:val="373737"/>
        </w:rPr>
        <w:t>the</w:t>
      </w:r>
      <w:r>
        <w:rPr>
          <w:color w:val="373737"/>
          <w:spacing w:val="-10"/>
        </w:rPr>
        <w:t xml:space="preserve"> </w:t>
      </w:r>
      <w:r>
        <w:rPr>
          <w:color w:val="373737"/>
        </w:rPr>
        <w:t>corporate</w:t>
      </w:r>
      <w:r>
        <w:rPr>
          <w:color w:val="373737"/>
          <w:spacing w:val="-15"/>
        </w:rPr>
        <w:t xml:space="preserve"> </w:t>
      </w:r>
      <w:r>
        <w:rPr>
          <w:color w:val="373737"/>
        </w:rPr>
        <w:t>user:</w:t>
      </w:r>
      <w:r>
        <w:rPr>
          <w:color w:val="373737"/>
          <w:spacing w:val="-11"/>
        </w:rPr>
        <w:t xml:space="preserve"> </w:t>
      </w:r>
      <w:r>
        <w:rPr>
          <w:color w:val="373737"/>
        </w:rPr>
        <w:t>Chief</w:t>
      </w:r>
      <w:r>
        <w:rPr>
          <w:color w:val="373737"/>
          <w:spacing w:val="-11"/>
        </w:rPr>
        <w:t xml:space="preserve"> </w:t>
      </w:r>
      <w:r>
        <w:rPr>
          <w:color w:val="373737"/>
        </w:rPr>
        <w:t>Learning</w:t>
      </w:r>
      <w:r>
        <w:rPr>
          <w:color w:val="373737"/>
          <w:spacing w:val="-15"/>
        </w:rPr>
        <w:t xml:space="preserve"> </w:t>
      </w:r>
      <w:r>
        <w:rPr>
          <w:color w:val="373737"/>
        </w:rPr>
        <w:t>Officers,</w:t>
      </w:r>
      <w:r>
        <w:rPr>
          <w:color w:val="373737"/>
          <w:spacing w:val="-2"/>
        </w:rPr>
        <w:t xml:space="preserve"> </w:t>
      </w:r>
      <w:r>
        <w:rPr>
          <w:color w:val="373737"/>
        </w:rPr>
        <w:t>Directors</w:t>
      </w:r>
      <w:r>
        <w:rPr>
          <w:color w:val="373737"/>
          <w:spacing w:val="-16"/>
        </w:rPr>
        <w:t xml:space="preserve"> </w:t>
      </w:r>
      <w:r>
        <w:rPr>
          <w:color w:val="373737"/>
        </w:rPr>
        <w:t>of</w:t>
      </w:r>
      <w:r>
        <w:rPr>
          <w:color w:val="373737"/>
          <w:spacing w:val="-15"/>
        </w:rPr>
        <w:t xml:space="preserve"> </w:t>
      </w:r>
      <w:r>
        <w:rPr>
          <w:color w:val="373737"/>
        </w:rPr>
        <w:t>Learning/Training</w:t>
      </w:r>
      <w:r>
        <w:rPr>
          <w:color w:val="373737"/>
          <w:spacing w:val="-10"/>
        </w:rPr>
        <w:t xml:space="preserve"> </w:t>
      </w:r>
      <w:r>
        <w:rPr>
          <w:color w:val="373737"/>
        </w:rPr>
        <w:t>&amp;</w:t>
      </w:r>
      <w:r>
        <w:rPr>
          <w:color w:val="373737"/>
          <w:spacing w:val="-11"/>
        </w:rPr>
        <w:t xml:space="preserve"> </w:t>
      </w:r>
      <w:r>
        <w:rPr>
          <w:color w:val="373737"/>
        </w:rPr>
        <w:t>Development, and their staffs.</w:t>
      </w:r>
    </w:p>
    <w:p w14:paraId="1C98573A" w14:textId="77777777" w:rsidR="000E61B1" w:rsidRDefault="000E61B1">
      <w:pPr>
        <w:pStyle w:val="BodyText"/>
        <w:rPr>
          <w:sz w:val="21"/>
        </w:rPr>
      </w:pPr>
    </w:p>
    <w:p w14:paraId="1B5717FA" w14:textId="77777777" w:rsidR="000E61B1" w:rsidRDefault="00000000">
      <w:pPr>
        <w:spacing w:line="256" w:lineRule="auto"/>
        <w:ind w:left="220" w:right="212"/>
        <w:jc w:val="both"/>
      </w:pPr>
      <w:r>
        <w:rPr>
          <w:b/>
        </w:rPr>
        <w:t>The Edge Foundation</w:t>
      </w:r>
      <w:r>
        <w:rPr>
          <w:b/>
          <w:vertAlign w:val="superscript"/>
        </w:rPr>
        <w:t>14</w:t>
      </w:r>
      <w:r>
        <w:rPr>
          <w:b/>
          <w:spacing w:val="-2"/>
        </w:rPr>
        <w:t xml:space="preserve"> </w:t>
      </w:r>
      <w:r>
        <w:t>web page</w:t>
      </w:r>
      <w:r>
        <w:rPr>
          <w:spacing w:val="-4"/>
        </w:rPr>
        <w:t xml:space="preserve"> </w:t>
      </w:r>
      <w:r>
        <w:t>outlines</w:t>
      </w:r>
      <w:r>
        <w:rPr>
          <w:spacing w:val="-1"/>
        </w:rPr>
        <w:t xml:space="preserve"> </w:t>
      </w:r>
      <w:r>
        <w:t>the changes</w:t>
      </w:r>
      <w:r>
        <w:rPr>
          <w:spacing w:val="-1"/>
        </w:rPr>
        <w:t xml:space="preserve"> </w:t>
      </w:r>
      <w:r>
        <w:t>that have</w:t>
      </w:r>
      <w:r>
        <w:rPr>
          <w:spacing w:val="-4"/>
        </w:rPr>
        <w:t xml:space="preserve"> </w:t>
      </w:r>
      <w:r>
        <w:t>been</w:t>
      </w:r>
      <w:r>
        <w:rPr>
          <w:spacing w:val="-4"/>
        </w:rPr>
        <w:t xml:space="preserve"> </w:t>
      </w:r>
      <w:r>
        <w:t>made</w:t>
      </w:r>
      <w:r>
        <w:rPr>
          <w:spacing w:val="-4"/>
        </w:rPr>
        <w:t xml:space="preserve"> </w:t>
      </w:r>
      <w:r>
        <w:t xml:space="preserve">at </w:t>
      </w:r>
      <w:r>
        <w:rPr>
          <w:b/>
        </w:rPr>
        <w:t xml:space="preserve">Highlands College, Jersey </w:t>
      </w:r>
      <w:proofErr w:type="gramStart"/>
      <w:r>
        <w:t>as a result of</w:t>
      </w:r>
      <w:proofErr w:type="gramEnd"/>
      <w:r>
        <w:t xml:space="preserve"> a project, including a new qualification, a focus on mentoring, and an innovative approach to assessment.</w:t>
      </w:r>
      <w:r>
        <w:rPr>
          <w:vertAlign w:val="superscript"/>
        </w:rPr>
        <w:t>15</w:t>
      </w:r>
    </w:p>
    <w:p w14:paraId="773F855E" w14:textId="77777777" w:rsidR="000E61B1" w:rsidRDefault="00000000">
      <w:pPr>
        <w:pStyle w:val="BodyText"/>
        <w:spacing w:before="168" w:line="259" w:lineRule="auto"/>
        <w:ind w:left="220" w:right="209"/>
        <w:jc w:val="both"/>
      </w:pPr>
      <w:r>
        <w:t xml:space="preserve">The College worked with the Edge Foundation to draw upon best practice from around the world to redesign its curriculum offer. </w:t>
      </w:r>
      <w:r>
        <w:rPr>
          <w:color w:val="142943"/>
        </w:rPr>
        <w:t>The report, authored by Dr Lynne Rodgers,</w:t>
      </w:r>
      <w:r>
        <w:rPr>
          <w:color w:val="142943"/>
          <w:vertAlign w:val="superscript"/>
        </w:rPr>
        <w:t>16</w:t>
      </w:r>
      <w:r>
        <w:rPr>
          <w:color w:val="142943"/>
          <w:spacing w:val="80"/>
        </w:rPr>
        <w:t xml:space="preserve"> </w:t>
      </w:r>
      <w:r>
        <w:rPr>
          <w:color w:val="142943"/>
        </w:rPr>
        <w:t xml:space="preserve">collates </w:t>
      </w:r>
      <w:r>
        <w:rPr>
          <w:b/>
          <w:color w:val="142943"/>
        </w:rPr>
        <w:t>international best practice on key areas underpinning curriculum design</w:t>
      </w:r>
      <w:r>
        <w:rPr>
          <w:color w:val="142943"/>
        </w:rPr>
        <w:t xml:space="preserve">. This includes enrichment and global citizenship, future and digital skills, </w:t>
      </w:r>
      <w:proofErr w:type="gramStart"/>
      <w:r>
        <w:rPr>
          <w:color w:val="142943"/>
        </w:rPr>
        <w:t>health</w:t>
      </w:r>
      <w:proofErr w:type="gramEnd"/>
      <w:r>
        <w:rPr>
          <w:color w:val="142943"/>
        </w:rPr>
        <w:t xml:space="preserve"> and wellbeing, mentoring and coaching, and next steps</w:t>
      </w:r>
      <w:r>
        <w:rPr>
          <w:color w:val="142943"/>
          <w:spacing w:val="-2"/>
        </w:rPr>
        <w:t xml:space="preserve"> </w:t>
      </w:r>
      <w:r>
        <w:rPr>
          <w:color w:val="142943"/>
        </w:rPr>
        <w:t>into employment, further and higher education. It relies</w:t>
      </w:r>
      <w:r>
        <w:rPr>
          <w:color w:val="142943"/>
          <w:spacing w:val="-1"/>
        </w:rPr>
        <w:t xml:space="preserve"> </w:t>
      </w:r>
      <w:r>
        <w:rPr>
          <w:color w:val="142943"/>
        </w:rPr>
        <w:t xml:space="preserve">on key case studies from around the world, including from Scotland, Finland, the US, Australia, </w:t>
      </w:r>
      <w:proofErr w:type="gramStart"/>
      <w:r>
        <w:rPr>
          <w:color w:val="142943"/>
        </w:rPr>
        <w:t>Canada</w:t>
      </w:r>
      <w:proofErr w:type="gramEnd"/>
      <w:r>
        <w:rPr>
          <w:color w:val="142943"/>
        </w:rPr>
        <w:t xml:space="preserve"> and New Zealand.</w:t>
      </w:r>
    </w:p>
    <w:p w14:paraId="5AEC6627" w14:textId="77777777" w:rsidR="000E61B1" w:rsidRDefault="00000000">
      <w:pPr>
        <w:pStyle w:val="BodyText"/>
        <w:spacing w:before="157" w:line="259" w:lineRule="auto"/>
        <w:ind w:left="220" w:right="205"/>
        <w:jc w:val="both"/>
      </w:pPr>
      <w:r>
        <w:t>The</w:t>
      </w:r>
      <w:r>
        <w:rPr>
          <w:spacing w:val="-3"/>
        </w:rPr>
        <w:t xml:space="preserve"> </w:t>
      </w:r>
      <w:r>
        <w:t>reports</w:t>
      </w:r>
      <w:r>
        <w:rPr>
          <w:spacing w:val="-5"/>
        </w:rPr>
        <w:t xml:space="preserve"> </w:t>
      </w:r>
      <w:r>
        <w:t>provide</w:t>
      </w:r>
      <w:r>
        <w:rPr>
          <w:spacing w:val="-3"/>
        </w:rPr>
        <w:t xml:space="preserve"> </w:t>
      </w:r>
      <w:r>
        <w:t>a</w:t>
      </w:r>
      <w:r>
        <w:rPr>
          <w:spacing w:val="-8"/>
        </w:rPr>
        <w:t xml:space="preserve"> </w:t>
      </w:r>
      <w:r>
        <w:t>useful</w:t>
      </w:r>
      <w:r>
        <w:rPr>
          <w:spacing w:val="-6"/>
        </w:rPr>
        <w:t xml:space="preserve"> </w:t>
      </w:r>
      <w:r>
        <w:t>and</w:t>
      </w:r>
      <w:r>
        <w:rPr>
          <w:spacing w:val="-3"/>
        </w:rPr>
        <w:t xml:space="preserve"> </w:t>
      </w:r>
      <w:r>
        <w:t>up</w:t>
      </w:r>
      <w:r>
        <w:rPr>
          <w:spacing w:val="-3"/>
        </w:rPr>
        <w:t xml:space="preserve"> </w:t>
      </w:r>
      <w:r>
        <w:t>to</w:t>
      </w:r>
      <w:r>
        <w:rPr>
          <w:spacing w:val="-3"/>
        </w:rPr>
        <w:t xml:space="preserve"> </w:t>
      </w:r>
      <w:r>
        <w:t>date</w:t>
      </w:r>
      <w:r>
        <w:rPr>
          <w:spacing w:val="-3"/>
        </w:rPr>
        <w:t xml:space="preserve"> </w:t>
      </w:r>
      <w:r>
        <w:t>review</w:t>
      </w:r>
      <w:r>
        <w:rPr>
          <w:spacing w:val="-1"/>
        </w:rPr>
        <w:t xml:space="preserve"> </w:t>
      </w:r>
      <w:r>
        <w:t>of</w:t>
      </w:r>
      <w:r>
        <w:rPr>
          <w:spacing w:val="-4"/>
        </w:rPr>
        <w:t xml:space="preserve"> </w:t>
      </w:r>
      <w:r>
        <w:t>international</w:t>
      </w:r>
      <w:r>
        <w:rPr>
          <w:spacing w:val="-6"/>
        </w:rPr>
        <w:t xml:space="preserve"> </w:t>
      </w:r>
      <w:r>
        <w:t>innovative</w:t>
      </w:r>
      <w:r>
        <w:rPr>
          <w:spacing w:val="-3"/>
        </w:rPr>
        <w:t xml:space="preserve"> </w:t>
      </w:r>
      <w:r>
        <w:t>practice when it comes to curriculum design:</w:t>
      </w:r>
    </w:p>
    <w:p w14:paraId="3A17BB83" w14:textId="77777777" w:rsidR="000E61B1" w:rsidRDefault="00000000">
      <w:pPr>
        <w:spacing w:before="159" w:line="259" w:lineRule="auto"/>
        <w:ind w:left="220" w:right="212"/>
        <w:jc w:val="both"/>
        <w:rPr>
          <w:i/>
        </w:rPr>
      </w:pPr>
      <w:r>
        <w:rPr>
          <w:i/>
        </w:rPr>
        <w:t xml:space="preserve">In a recent World Economic Forum (WEF) (2020, p. 10) publication, </w:t>
      </w:r>
      <w:r>
        <w:rPr>
          <w:b/>
          <w:i/>
        </w:rPr>
        <w:t xml:space="preserve">five innovative pedagogic approaches </w:t>
      </w:r>
      <w:r>
        <w:rPr>
          <w:i/>
        </w:rPr>
        <w:t>were identified in enabling a shift from current practice.</w:t>
      </w:r>
    </w:p>
    <w:p w14:paraId="3B816629" w14:textId="77777777" w:rsidR="000E61B1" w:rsidRDefault="000E61B1">
      <w:pPr>
        <w:pStyle w:val="BodyText"/>
        <w:spacing w:before="3"/>
        <w:rPr>
          <w:i/>
          <w:sz w:val="24"/>
        </w:rPr>
      </w:pPr>
    </w:p>
    <w:p w14:paraId="6E38F700" w14:textId="77777777" w:rsidR="000E61B1" w:rsidRDefault="00000000">
      <w:pPr>
        <w:pStyle w:val="ListParagraph"/>
        <w:numPr>
          <w:ilvl w:val="1"/>
          <w:numId w:val="1"/>
        </w:numPr>
        <w:tabs>
          <w:tab w:val="left" w:pos="1215"/>
        </w:tabs>
        <w:spacing w:line="256" w:lineRule="auto"/>
        <w:ind w:right="220"/>
        <w:jc w:val="both"/>
      </w:pPr>
      <w:r>
        <w:t>Playful – creating a joyful experience to enable children and young people to find meaning through active thinking and social action.</w:t>
      </w:r>
    </w:p>
    <w:p w14:paraId="1A68BF7A" w14:textId="77777777" w:rsidR="000E61B1" w:rsidRDefault="000E61B1">
      <w:pPr>
        <w:pStyle w:val="BodyText"/>
        <w:rPr>
          <w:sz w:val="24"/>
        </w:rPr>
      </w:pPr>
    </w:p>
    <w:p w14:paraId="3F866431" w14:textId="77777777" w:rsidR="000E61B1" w:rsidRDefault="00000000">
      <w:pPr>
        <w:pStyle w:val="ListParagraph"/>
        <w:numPr>
          <w:ilvl w:val="1"/>
          <w:numId w:val="1"/>
        </w:numPr>
        <w:tabs>
          <w:tab w:val="left" w:pos="1215"/>
        </w:tabs>
        <w:spacing w:line="256" w:lineRule="auto"/>
        <w:ind w:right="214"/>
        <w:jc w:val="both"/>
      </w:pPr>
      <w:r>
        <w:t>Experiential – the integration of content into real-world applications, including project-based and inquiry-based approaches.</w:t>
      </w:r>
    </w:p>
    <w:p w14:paraId="21BE8079" w14:textId="77777777" w:rsidR="000E61B1" w:rsidRDefault="000E61B1">
      <w:pPr>
        <w:pStyle w:val="BodyText"/>
        <w:spacing w:before="1"/>
        <w:rPr>
          <w:sz w:val="24"/>
        </w:rPr>
      </w:pPr>
    </w:p>
    <w:p w14:paraId="24535F2D" w14:textId="77777777" w:rsidR="000E61B1" w:rsidRDefault="00000000">
      <w:pPr>
        <w:pStyle w:val="ListParagraph"/>
        <w:numPr>
          <w:ilvl w:val="1"/>
          <w:numId w:val="1"/>
        </w:numPr>
        <w:tabs>
          <w:tab w:val="left" w:pos="1215"/>
        </w:tabs>
      </w:pPr>
      <w:r>
        <w:t>Computational</w:t>
      </w:r>
      <w:r>
        <w:rPr>
          <w:spacing w:val="-3"/>
        </w:rPr>
        <w:t xml:space="preserve"> </w:t>
      </w:r>
      <w:r>
        <w:t>–</w:t>
      </w:r>
      <w:r>
        <w:rPr>
          <w:spacing w:val="-6"/>
        </w:rPr>
        <w:t xml:space="preserve"> </w:t>
      </w:r>
      <w:r>
        <w:t>to</w:t>
      </w:r>
      <w:r>
        <w:rPr>
          <w:spacing w:val="-6"/>
        </w:rPr>
        <w:t xml:space="preserve"> </w:t>
      </w:r>
      <w:r>
        <w:t>enable</w:t>
      </w:r>
      <w:r>
        <w:rPr>
          <w:spacing w:val="-3"/>
        </w:rPr>
        <w:t xml:space="preserve"> </w:t>
      </w:r>
      <w:r>
        <w:t>students</w:t>
      </w:r>
      <w:r>
        <w:rPr>
          <w:spacing w:val="-8"/>
        </w:rPr>
        <w:t xml:space="preserve"> </w:t>
      </w:r>
      <w:r>
        <w:t>to</w:t>
      </w:r>
      <w:r>
        <w:rPr>
          <w:spacing w:val="-7"/>
        </w:rPr>
        <w:t xml:space="preserve"> </w:t>
      </w:r>
      <w:r>
        <w:t>understand</w:t>
      </w:r>
      <w:r>
        <w:rPr>
          <w:spacing w:val="-6"/>
        </w:rPr>
        <w:t xml:space="preserve"> </w:t>
      </w:r>
      <w:r>
        <w:t>how</w:t>
      </w:r>
      <w:r>
        <w:rPr>
          <w:spacing w:val="-9"/>
        </w:rPr>
        <w:t xml:space="preserve"> </w:t>
      </w:r>
      <w:r>
        <w:t>computers</w:t>
      </w:r>
      <w:r>
        <w:rPr>
          <w:spacing w:val="-4"/>
        </w:rPr>
        <w:t xml:space="preserve"> </w:t>
      </w:r>
      <w:r>
        <w:t>solve</w:t>
      </w:r>
      <w:r>
        <w:rPr>
          <w:spacing w:val="-6"/>
        </w:rPr>
        <w:t xml:space="preserve"> </w:t>
      </w:r>
      <w:r>
        <w:rPr>
          <w:spacing w:val="-2"/>
        </w:rPr>
        <w:t>problems.</w:t>
      </w:r>
    </w:p>
    <w:p w14:paraId="2D77042F" w14:textId="77777777" w:rsidR="000E61B1" w:rsidRDefault="000E61B1">
      <w:pPr>
        <w:pStyle w:val="BodyText"/>
        <w:spacing w:before="4"/>
        <w:rPr>
          <w:sz w:val="25"/>
        </w:rPr>
      </w:pPr>
    </w:p>
    <w:p w14:paraId="49E859D0" w14:textId="77777777" w:rsidR="000E61B1" w:rsidRDefault="00000000">
      <w:pPr>
        <w:pStyle w:val="ListParagraph"/>
        <w:numPr>
          <w:ilvl w:val="1"/>
          <w:numId w:val="1"/>
        </w:numPr>
        <w:tabs>
          <w:tab w:val="left" w:pos="1215"/>
        </w:tabs>
      </w:pPr>
      <w:r>
        <w:t>Embodied</w:t>
      </w:r>
      <w:r>
        <w:rPr>
          <w:spacing w:val="-4"/>
        </w:rPr>
        <w:t xml:space="preserve"> </w:t>
      </w:r>
      <w:r>
        <w:t>–</w:t>
      </w:r>
      <w:r>
        <w:rPr>
          <w:spacing w:val="-7"/>
        </w:rPr>
        <w:t xml:space="preserve"> </w:t>
      </w:r>
      <w:r>
        <w:t>incorporating</w:t>
      </w:r>
      <w:r>
        <w:rPr>
          <w:spacing w:val="-4"/>
        </w:rPr>
        <w:t xml:space="preserve"> </w:t>
      </w:r>
      <w:r>
        <w:t>the</w:t>
      </w:r>
      <w:r>
        <w:rPr>
          <w:spacing w:val="-7"/>
        </w:rPr>
        <w:t xml:space="preserve"> </w:t>
      </w:r>
      <w:r>
        <w:t>physical</w:t>
      </w:r>
      <w:r>
        <w:rPr>
          <w:spacing w:val="-10"/>
        </w:rPr>
        <w:t xml:space="preserve"> </w:t>
      </w:r>
      <w:r>
        <w:t>body</w:t>
      </w:r>
      <w:r>
        <w:rPr>
          <w:spacing w:val="-4"/>
        </w:rPr>
        <w:t xml:space="preserve"> </w:t>
      </w:r>
      <w:r>
        <w:t>into</w:t>
      </w:r>
      <w:r>
        <w:rPr>
          <w:spacing w:val="-7"/>
        </w:rPr>
        <w:t xml:space="preserve"> </w:t>
      </w:r>
      <w:r>
        <w:t>learning</w:t>
      </w:r>
      <w:r>
        <w:rPr>
          <w:spacing w:val="-7"/>
        </w:rPr>
        <w:t xml:space="preserve"> </w:t>
      </w:r>
      <w:r>
        <w:t>through</w:t>
      </w:r>
      <w:r>
        <w:rPr>
          <w:spacing w:val="-7"/>
        </w:rPr>
        <w:t xml:space="preserve"> </w:t>
      </w:r>
      <w:r>
        <w:rPr>
          <w:spacing w:val="-2"/>
        </w:rPr>
        <w:t>movement.</w:t>
      </w:r>
    </w:p>
    <w:p w14:paraId="71CA5920" w14:textId="77777777" w:rsidR="000E61B1" w:rsidRDefault="000E61B1">
      <w:pPr>
        <w:pStyle w:val="BodyText"/>
        <w:rPr>
          <w:sz w:val="25"/>
        </w:rPr>
      </w:pPr>
    </w:p>
    <w:p w14:paraId="7ACA1549" w14:textId="77777777" w:rsidR="000E61B1" w:rsidRDefault="00000000">
      <w:pPr>
        <w:pStyle w:val="ListParagraph"/>
        <w:numPr>
          <w:ilvl w:val="1"/>
          <w:numId w:val="1"/>
        </w:numPr>
        <w:tabs>
          <w:tab w:val="left" w:pos="1215"/>
        </w:tabs>
        <w:spacing w:line="259" w:lineRule="auto"/>
        <w:ind w:right="215"/>
        <w:jc w:val="both"/>
      </w:pPr>
      <w:r>
        <w:t>Multiliteracies</w:t>
      </w:r>
      <w:r>
        <w:rPr>
          <w:spacing w:val="-9"/>
        </w:rPr>
        <w:t xml:space="preserve"> </w:t>
      </w:r>
      <w:r>
        <w:t>–</w:t>
      </w:r>
      <w:r>
        <w:rPr>
          <w:spacing w:val="-8"/>
        </w:rPr>
        <w:t xml:space="preserve"> </w:t>
      </w:r>
      <w:r>
        <w:t>focusing</w:t>
      </w:r>
      <w:r>
        <w:rPr>
          <w:spacing w:val="-9"/>
        </w:rPr>
        <w:t xml:space="preserve"> </w:t>
      </w:r>
      <w:r>
        <w:t>on</w:t>
      </w:r>
      <w:r>
        <w:rPr>
          <w:spacing w:val="-8"/>
        </w:rPr>
        <w:t xml:space="preserve"> </w:t>
      </w:r>
      <w:r>
        <w:t>diversity</w:t>
      </w:r>
      <w:r>
        <w:rPr>
          <w:spacing w:val="-11"/>
        </w:rPr>
        <w:t xml:space="preserve"> </w:t>
      </w:r>
      <w:r>
        <w:t>and</w:t>
      </w:r>
      <w:r>
        <w:rPr>
          <w:spacing w:val="-9"/>
        </w:rPr>
        <w:t xml:space="preserve"> </w:t>
      </w:r>
      <w:r>
        <w:t>the</w:t>
      </w:r>
      <w:r>
        <w:rPr>
          <w:spacing w:val="-9"/>
        </w:rPr>
        <w:t xml:space="preserve"> </w:t>
      </w:r>
      <w:r>
        <w:t>many</w:t>
      </w:r>
      <w:r>
        <w:rPr>
          <w:spacing w:val="-6"/>
        </w:rPr>
        <w:t xml:space="preserve"> </w:t>
      </w:r>
      <w:r>
        <w:t>ways</w:t>
      </w:r>
      <w:r>
        <w:rPr>
          <w:spacing w:val="-11"/>
        </w:rPr>
        <w:t xml:space="preserve"> </w:t>
      </w:r>
      <w:r>
        <w:t>in</w:t>
      </w:r>
      <w:r>
        <w:rPr>
          <w:spacing w:val="-5"/>
        </w:rPr>
        <w:t xml:space="preserve"> </w:t>
      </w:r>
      <w:r>
        <w:t>which</w:t>
      </w:r>
      <w:r>
        <w:rPr>
          <w:spacing w:val="-9"/>
        </w:rPr>
        <w:t xml:space="preserve"> </w:t>
      </w:r>
      <w:r>
        <w:t>language</w:t>
      </w:r>
      <w:r>
        <w:rPr>
          <w:spacing w:val="-9"/>
        </w:rPr>
        <w:t xml:space="preserve"> </w:t>
      </w:r>
      <w:r>
        <w:t>is</w:t>
      </w:r>
      <w:r>
        <w:rPr>
          <w:spacing w:val="-6"/>
        </w:rPr>
        <w:t xml:space="preserve"> </w:t>
      </w:r>
      <w:r>
        <w:t>used and shared and connects learning to cultural awareness. In Ontario, Canada successful</w:t>
      </w:r>
      <w:r>
        <w:rPr>
          <w:spacing w:val="-3"/>
        </w:rPr>
        <w:t xml:space="preserve"> </w:t>
      </w:r>
      <w:r>
        <w:t>pedagogical</w:t>
      </w:r>
      <w:r>
        <w:rPr>
          <w:spacing w:val="-3"/>
        </w:rPr>
        <w:t xml:space="preserve"> </w:t>
      </w:r>
      <w:r>
        <w:t>approaches to promote 21st century skills included</w:t>
      </w:r>
      <w:r>
        <w:rPr>
          <w:spacing w:val="-1"/>
        </w:rPr>
        <w:t xml:space="preserve"> </w:t>
      </w:r>
      <w:r>
        <w:t>flipped learning, blended learning, collaborative problem solving, inquiry, interdisciplinary projects, immersive authentic simulations, and digital learning platforms (Ontario Ministry of Education, 2016, p. 40).</w:t>
      </w:r>
    </w:p>
    <w:p w14:paraId="359F8AAE" w14:textId="77777777" w:rsidR="000E61B1" w:rsidRDefault="000E61B1">
      <w:pPr>
        <w:pStyle w:val="BodyText"/>
        <w:rPr>
          <w:sz w:val="24"/>
        </w:rPr>
      </w:pPr>
    </w:p>
    <w:p w14:paraId="4498041C" w14:textId="77777777" w:rsidR="000E61B1" w:rsidRDefault="00000000">
      <w:pPr>
        <w:spacing w:before="157" w:line="259" w:lineRule="auto"/>
        <w:ind w:left="220" w:right="211"/>
        <w:jc w:val="both"/>
        <w:rPr>
          <w:i/>
        </w:rPr>
      </w:pPr>
      <w:r>
        <w:rPr>
          <w:b/>
          <w:i/>
        </w:rPr>
        <w:t xml:space="preserve">At School 21 in East London </w:t>
      </w:r>
      <w:r>
        <w:rPr>
          <w:i/>
        </w:rPr>
        <w:t>all students from</w:t>
      </w:r>
      <w:r>
        <w:rPr>
          <w:i/>
          <w:spacing w:val="-2"/>
        </w:rPr>
        <w:t xml:space="preserve"> </w:t>
      </w:r>
      <w:r>
        <w:rPr>
          <w:i/>
        </w:rPr>
        <w:t xml:space="preserve">Year 10 onwards, </w:t>
      </w:r>
      <w:r>
        <w:rPr>
          <w:b/>
          <w:i/>
        </w:rPr>
        <w:t xml:space="preserve">undertake a </w:t>
      </w:r>
      <w:proofErr w:type="gramStart"/>
      <w:r>
        <w:rPr>
          <w:b/>
          <w:i/>
        </w:rPr>
        <w:t>Real World</w:t>
      </w:r>
      <w:proofErr w:type="gramEnd"/>
      <w:r>
        <w:rPr>
          <w:b/>
          <w:i/>
        </w:rPr>
        <w:t xml:space="preserve"> Learning Project </w:t>
      </w:r>
      <w:r>
        <w:rPr>
          <w:i/>
        </w:rPr>
        <w:t>- an innovative approach to work experience. Over a term and a half, students spend half a day a week in the workplace and are tasked with solving an authentic problem for a real organization. The projects all have an authentic outcome produced by the students</w:t>
      </w:r>
      <w:r>
        <w:rPr>
          <w:i/>
          <w:spacing w:val="33"/>
        </w:rPr>
        <w:t xml:space="preserve"> </w:t>
      </w:r>
      <w:r>
        <w:rPr>
          <w:i/>
        </w:rPr>
        <w:t>that</w:t>
      </w:r>
      <w:r>
        <w:rPr>
          <w:i/>
          <w:spacing w:val="34"/>
        </w:rPr>
        <w:t xml:space="preserve"> </w:t>
      </w:r>
      <w:r>
        <w:rPr>
          <w:i/>
        </w:rPr>
        <w:t>must</w:t>
      </w:r>
      <w:r>
        <w:rPr>
          <w:i/>
          <w:spacing w:val="34"/>
        </w:rPr>
        <w:t xml:space="preserve"> </w:t>
      </w:r>
      <w:r>
        <w:rPr>
          <w:i/>
        </w:rPr>
        <w:t>be</w:t>
      </w:r>
      <w:r>
        <w:rPr>
          <w:i/>
          <w:spacing w:val="35"/>
        </w:rPr>
        <w:t xml:space="preserve"> </w:t>
      </w:r>
      <w:r>
        <w:rPr>
          <w:i/>
        </w:rPr>
        <w:t>of</w:t>
      </w:r>
      <w:r>
        <w:rPr>
          <w:i/>
          <w:spacing w:val="34"/>
        </w:rPr>
        <w:t xml:space="preserve"> </w:t>
      </w:r>
      <w:r>
        <w:rPr>
          <w:i/>
        </w:rPr>
        <w:t>genuine</w:t>
      </w:r>
      <w:r>
        <w:rPr>
          <w:i/>
          <w:spacing w:val="35"/>
        </w:rPr>
        <w:t xml:space="preserve"> </w:t>
      </w:r>
      <w:r>
        <w:rPr>
          <w:i/>
        </w:rPr>
        <w:t>value</w:t>
      </w:r>
      <w:r>
        <w:rPr>
          <w:i/>
          <w:spacing w:val="35"/>
        </w:rPr>
        <w:t xml:space="preserve"> </w:t>
      </w:r>
      <w:r>
        <w:rPr>
          <w:i/>
        </w:rPr>
        <w:t>to</w:t>
      </w:r>
      <w:r>
        <w:rPr>
          <w:i/>
          <w:spacing w:val="35"/>
        </w:rPr>
        <w:t xml:space="preserve"> </w:t>
      </w:r>
      <w:r>
        <w:rPr>
          <w:i/>
        </w:rPr>
        <w:t>the</w:t>
      </w:r>
      <w:r>
        <w:rPr>
          <w:i/>
          <w:spacing w:val="35"/>
        </w:rPr>
        <w:t xml:space="preserve"> </w:t>
      </w:r>
      <w:r>
        <w:rPr>
          <w:i/>
        </w:rPr>
        <w:t>organization.</w:t>
      </w:r>
      <w:r>
        <w:rPr>
          <w:i/>
          <w:spacing w:val="34"/>
        </w:rPr>
        <w:t xml:space="preserve"> </w:t>
      </w:r>
      <w:r>
        <w:rPr>
          <w:i/>
        </w:rPr>
        <w:t>Examples</w:t>
      </w:r>
      <w:r>
        <w:rPr>
          <w:i/>
          <w:spacing w:val="33"/>
        </w:rPr>
        <w:t xml:space="preserve"> </w:t>
      </w:r>
      <w:r>
        <w:rPr>
          <w:i/>
        </w:rPr>
        <w:t>include</w:t>
      </w:r>
      <w:r>
        <w:rPr>
          <w:i/>
          <w:spacing w:val="35"/>
        </w:rPr>
        <w:t xml:space="preserve"> </w:t>
      </w:r>
      <w:r>
        <w:rPr>
          <w:i/>
        </w:rPr>
        <w:t>a</w:t>
      </w:r>
      <w:r>
        <w:rPr>
          <w:i/>
          <w:spacing w:val="35"/>
        </w:rPr>
        <w:t xml:space="preserve"> </w:t>
      </w:r>
      <w:r>
        <w:rPr>
          <w:i/>
        </w:rPr>
        <w:t>piece</w:t>
      </w:r>
      <w:r>
        <w:rPr>
          <w:i/>
          <w:spacing w:val="35"/>
        </w:rPr>
        <w:t xml:space="preserve"> </w:t>
      </w:r>
      <w:r>
        <w:rPr>
          <w:i/>
        </w:rPr>
        <w:t>of</w:t>
      </w:r>
    </w:p>
    <w:p w14:paraId="16E28A47" w14:textId="77777777" w:rsidR="000E61B1" w:rsidRDefault="000E61B1">
      <w:pPr>
        <w:pStyle w:val="BodyText"/>
        <w:rPr>
          <w:i/>
          <w:sz w:val="20"/>
        </w:rPr>
      </w:pPr>
    </w:p>
    <w:p w14:paraId="0BDF930C" w14:textId="77777777" w:rsidR="000E61B1" w:rsidRDefault="00000000">
      <w:pPr>
        <w:pStyle w:val="BodyText"/>
        <w:spacing w:before="5"/>
        <w:rPr>
          <w:i/>
          <w:sz w:val="24"/>
        </w:rPr>
      </w:pPr>
      <w:r>
        <w:pict w14:anchorId="335F62C2">
          <v:rect id="docshape8" o:spid="_x0000_s2054" style="position:absolute;margin-left:1in;margin-top:15.25pt;width:144.05pt;height:.7pt;z-index:-15724544;mso-wrap-distance-left:0;mso-wrap-distance-right:0;mso-position-horizontal-relative:page" fillcolor="black" stroked="f">
            <w10:wrap type="topAndBottom" anchorx="page"/>
          </v:rect>
        </w:pict>
      </w:r>
    </w:p>
    <w:p w14:paraId="1B18F141" w14:textId="77777777" w:rsidR="000E61B1" w:rsidRDefault="00000000">
      <w:pPr>
        <w:spacing w:before="102" w:line="242" w:lineRule="exact"/>
        <w:ind w:left="220"/>
        <w:rPr>
          <w:sz w:val="20"/>
        </w:rPr>
      </w:pPr>
      <w:r>
        <w:rPr>
          <w:rFonts w:ascii="Calibri" w:hAnsi="Calibri"/>
          <w:sz w:val="20"/>
          <w:vertAlign w:val="superscript"/>
        </w:rPr>
        <w:t>13</w:t>
      </w:r>
      <w:r>
        <w:rPr>
          <w:rFonts w:ascii="Calibri" w:hAnsi="Calibri"/>
          <w:sz w:val="20"/>
        </w:rPr>
        <w:t xml:space="preserve"> </w:t>
      </w:r>
      <w:hyperlink r:id="rId60">
        <w:r>
          <w:rPr>
            <w:color w:val="1882D1"/>
            <w:sz w:val="20"/>
          </w:rPr>
          <w:t>Workforce</w:t>
        </w:r>
        <w:r>
          <w:rPr>
            <w:color w:val="1882D1"/>
            <w:spacing w:val="-4"/>
            <w:sz w:val="20"/>
          </w:rPr>
          <w:t xml:space="preserve"> </w:t>
        </w:r>
        <w:r>
          <w:rPr>
            <w:color w:val="1882D1"/>
            <w:sz w:val="20"/>
          </w:rPr>
          <w:t>Assessments</w:t>
        </w:r>
        <w:r>
          <w:rPr>
            <w:color w:val="1882D1"/>
            <w:spacing w:val="-7"/>
            <w:sz w:val="20"/>
          </w:rPr>
          <w:t xml:space="preserve"> </w:t>
        </w:r>
        <w:r>
          <w:rPr>
            <w:color w:val="1882D1"/>
            <w:sz w:val="20"/>
          </w:rPr>
          <w:t>–</w:t>
        </w:r>
        <w:r>
          <w:rPr>
            <w:color w:val="1882D1"/>
            <w:spacing w:val="-8"/>
            <w:sz w:val="20"/>
          </w:rPr>
          <w:t xml:space="preserve"> </w:t>
        </w:r>
        <w:r>
          <w:rPr>
            <w:color w:val="1882D1"/>
            <w:sz w:val="20"/>
          </w:rPr>
          <w:t>What</w:t>
        </w:r>
        <w:r>
          <w:rPr>
            <w:color w:val="1882D1"/>
            <w:spacing w:val="-2"/>
            <w:sz w:val="20"/>
          </w:rPr>
          <w:t xml:space="preserve"> </w:t>
        </w:r>
        <w:r>
          <w:rPr>
            <w:color w:val="1882D1"/>
            <w:sz w:val="20"/>
          </w:rPr>
          <w:t>do</w:t>
        </w:r>
        <w:r>
          <w:rPr>
            <w:color w:val="1882D1"/>
            <w:spacing w:val="-4"/>
            <w:sz w:val="20"/>
          </w:rPr>
          <w:t xml:space="preserve"> </w:t>
        </w:r>
        <w:r>
          <w:rPr>
            <w:color w:val="1882D1"/>
            <w:sz w:val="20"/>
          </w:rPr>
          <w:t>we</w:t>
        </w:r>
        <w:r>
          <w:rPr>
            <w:color w:val="1882D1"/>
            <w:spacing w:val="-9"/>
            <w:sz w:val="20"/>
          </w:rPr>
          <w:t xml:space="preserve"> </w:t>
        </w:r>
        <w:r>
          <w:rPr>
            <w:color w:val="1882D1"/>
            <w:sz w:val="20"/>
          </w:rPr>
          <w:t>actually</w:t>
        </w:r>
        <w:r>
          <w:rPr>
            <w:color w:val="1882D1"/>
            <w:spacing w:val="-3"/>
            <w:sz w:val="20"/>
          </w:rPr>
          <w:t xml:space="preserve"> </w:t>
        </w:r>
        <w:r>
          <w:rPr>
            <w:color w:val="1882D1"/>
            <w:spacing w:val="-2"/>
            <w:sz w:val="20"/>
          </w:rPr>
          <w:t>measure</w:t>
        </w:r>
      </w:hyperlink>
    </w:p>
    <w:p w14:paraId="26EBFF71" w14:textId="77777777" w:rsidR="000E61B1" w:rsidRDefault="00000000">
      <w:pPr>
        <w:spacing w:line="242" w:lineRule="exact"/>
        <w:ind w:left="220"/>
        <w:rPr>
          <w:rFonts w:ascii="Calibri"/>
          <w:sz w:val="20"/>
        </w:rPr>
      </w:pPr>
      <w:r>
        <w:rPr>
          <w:rFonts w:ascii="Calibri"/>
          <w:sz w:val="20"/>
          <w:vertAlign w:val="superscript"/>
        </w:rPr>
        <w:t>14</w:t>
      </w:r>
      <w:r>
        <w:rPr>
          <w:rFonts w:ascii="Calibri"/>
          <w:spacing w:val="1"/>
          <w:sz w:val="20"/>
        </w:rPr>
        <w:t xml:space="preserve"> </w:t>
      </w:r>
      <w:hyperlink r:id="rId61">
        <w:r>
          <w:rPr>
            <w:rFonts w:ascii="Calibri"/>
            <w:color w:val="0000FF"/>
            <w:sz w:val="20"/>
            <w:u w:val="single" w:color="0000FF"/>
          </w:rPr>
          <w:t>Home</w:t>
        </w:r>
        <w:r>
          <w:rPr>
            <w:rFonts w:ascii="Calibri"/>
            <w:color w:val="0000FF"/>
            <w:spacing w:val="1"/>
            <w:sz w:val="20"/>
            <w:u w:val="single" w:color="0000FF"/>
          </w:rPr>
          <w:t xml:space="preserve"> </w:t>
        </w:r>
        <w:r>
          <w:rPr>
            <w:rFonts w:ascii="Calibri"/>
            <w:color w:val="0000FF"/>
            <w:sz w:val="20"/>
            <w:u w:val="single" w:color="0000FF"/>
          </w:rPr>
          <w:t>|</w:t>
        </w:r>
        <w:r>
          <w:rPr>
            <w:rFonts w:ascii="Calibri"/>
            <w:color w:val="0000FF"/>
            <w:spacing w:val="-7"/>
            <w:sz w:val="20"/>
            <w:u w:val="single" w:color="0000FF"/>
          </w:rPr>
          <w:t xml:space="preserve"> </w:t>
        </w:r>
        <w:r>
          <w:rPr>
            <w:rFonts w:ascii="Calibri"/>
            <w:color w:val="0000FF"/>
            <w:sz w:val="20"/>
            <w:u w:val="single" w:color="0000FF"/>
          </w:rPr>
          <w:t>Edge</w:t>
        </w:r>
        <w:r>
          <w:rPr>
            <w:rFonts w:ascii="Calibri"/>
            <w:color w:val="0000FF"/>
            <w:spacing w:val="-4"/>
            <w:sz w:val="20"/>
            <w:u w:val="single" w:color="0000FF"/>
          </w:rPr>
          <w:t xml:space="preserve"> </w:t>
        </w:r>
        <w:r>
          <w:rPr>
            <w:rFonts w:ascii="Calibri"/>
            <w:color w:val="0000FF"/>
            <w:spacing w:val="-2"/>
            <w:sz w:val="20"/>
            <w:u w:val="single" w:color="0000FF"/>
          </w:rPr>
          <w:t>Foundation</w:t>
        </w:r>
      </w:hyperlink>
    </w:p>
    <w:p w14:paraId="46B347B3" w14:textId="77777777" w:rsidR="000E61B1" w:rsidRDefault="00000000">
      <w:pPr>
        <w:pStyle w:val="BodyText"/>
        <w:spacing w:before="1"/>
        <w:ind w:left="220"/>
      </w:pPr>
      <w:r>
        <w:rPr>
          <w:rFonts w:ascii="Calibri"/>
          <w:vertAlign w:val="superscript"/>
        </w:rPr>
        <w:t>15</w:t>
      </w:r>
      <w:r>
        <w:rPr>
          <w:rFonts w:ascii="Calibri"/>
          <w:spacing w:val="-6"/>
        </w:rPr>
        <w:t xml:space="preserve"> </w:t>
      </w:r>
      <w:hyperlink r:id="rId62">
        <w:r>
          <w:rPr>
            <w:color w:val="0000FF"/>
            <w:u w:val="single" w:color="0000FF"/>
          </w:rPr>
          <w:t>Piloting</w:t>
        </w:r>
        <w:r>
          <w:rPr>
            <w:color w:val="0000FF"/>
            <w:spacing w:val="-6"/>
            <w:u w:val="single" w:color="0000FF"/>
          </w:rPr>
          <w:t xml:space="preserve"> </w:t>
        </w:r>
        <w:r>
          <w:rPr>
            <w:color w:val="0000FF"/>
            <w:u w:val="single" w:color="0000FF"/>
          </w:rPr>
          <w:t>international</w:t>
        </w:r>
        <w:r>
          <w:rPr>
            <w:color w:val="0000FF"/>
            <w:spacing w:val="-6"/>
            <w:u w:val="single" w:color="0000FF"/>
          </w:rPr>
          <w:t xml:space="preserve"> </w:t>
        </w:r>
        <w:r>
          <w:rPr>
            <w:color w:val="0000FF"/>
            <w:u w:val="single" w:color="0000FF"/>
          </w:rPr>
          <w:t>future</w:t>
        </w:r>
        <w:r>
          <w:rPr>
            <w:color w:val="0000FF"/>
            <w:spacing w:val="-3"/>
            <w:u w:val="single" w:color="0000FF"/>
          </w:rPr>
          <w:t xml:space="preserve"> </w:t>
        </w:r>
        <w:r>
          <w:rPr>
            <w:color w:val="0000FF"/>
            <w:u w:val="single" w:color="0000FF"/>
          </w:rPr>
          <w:t>skills</w:t>
        </w:r>
        <w:r>
          <w:rPr>
            <w:color w:val="0000FF"/>
            <w:spacing w:val="-9"/>
            <w:u w:val="single" w:color="0000FF"/>
          </w:rPr>
          <w:t xml:space="preserve"> </w:t>
        </w:r>
        <w:r>
          <w:rPr>
            <w:color w:val="0000FF"/>
            <w:u w:val="single" w:color="0000FF"/>
          </w:rPr>
          <w:t>at</w:t>
        </w:r>
        <w:r>
          <w:rPr>
            <w:color w:val="0000FF"/>
            <w:spacing w:val="-3"/>
            <w:u w:val="single" w:color="0000FF"/>
          </w:rPr>
          <w:t xml:space="preserve"> </w:t>
        </w:r>
        <w:r>
          <w:rPr>
            <w:color w:val="0000FF"/>
            <w:u w:val="single" w:color="0000FF"/>
          </w:rPr>
          <w:t>Highlands</w:t>
        </w:r>
        <w:r>
          <w:rPr>
            <w:color w:val="0000FF"/>
            <w:spacing w:val="-4"/>
            <w:u w:val="single" w:color="0000FF"/>
          </w:rPr>
          <w:t xml:space="preserve"> </w:t>
        </w:r>
        <w:r>
          <w:rPr>
            <w:color w:val="0000FF"/>
            <w:u w:val="single" w:color="0000FF"/>
          </w:rPr>
          <w:t>College</w:t>
        </w:r>
        <w:r>
          <w:rPr>
            <w:color w:val="0000FF"/>
            <w:spacing w:val="-7"/>
            <w:u w:val="single" w:color="0000FF"/>
          </w:rPr>
          <w:t xml:space="preserve"> </w:t>
        </w:r>
        <w:r>
          <w:rPr>
            <w:color w:val="0000FF"/>
            <w:u w:val="single" w:color="0000FF"/>
          </w:rPr>
          <w:t>|</w:t>
        </w:r>
        <w:r>
          <w:rPr>
            <w:color w:val="0000FF"/>
            <w:spacing w:val="-4"/>
            <w:u w:val="single" w:color="0000FF"/>
          </w:rPr>
          <w:t xml:space="preserve"> </w:t>
        </w:r>
        <w:r>
          <w:rPr>
            <w:color w:val="0000FF"/>
            <w:u w:val="single" w:color="0000FF"/>
          </w:rPr>
          <w:t>Edge</w:t>
        </w:r>
        <w:r>
          <w:rPr>
            <w:color w:val="0000FF"/>
            <w:spacing w:val="-3"/>
            <w:u w:val="single" w:color="0000FF"/>
          </w:rPr>
          <w:t xml:space="preserve"> </w:t>
        </w:r>
        <w:r>
          <w:rPr>
            <w:color w:val="0000FF"/>
            <w:spacing w:val="-2"/>
            <w:u w:val="single" w:color="0000FF"/>
          </w:rPr>
          <w:t>Foundation</w:t>
        </w:r>
      </w:hyperlink>
    </w:p>
    <w:p w14:paraId="66D279F6" w14:textId="77777777" w:rsidR="000E61B1" w:rsidRDefault="000E61B1">
      <w:pPr>
        <w:pStyle w:val="BodyText"/>
        <w:spacing w:before="7"/>
        <w:rPr>
          <w:sz w:val="28"/>
        </w:rPr>
      </w:pPr>
    </w:p>
    <w:p w14:paraId="339DCDB3" w14:textId="77777777" w:rsidR="000E61B1" w:rsidRDefault="00000000">
      <w:pPr>
        <w:spacing w:before="99"/>
        <w:ind w:left="220"/>
        <w:rPr>
          <w:sz w:val="20"/>
        </w:rPr>
      </w:pPr>
      <w:r>
        <w:rPr>
          <w:rFonts w:ascii="Calibri"/>
          <w:sz w:val="20"/>
          <w:vertAlign w:val="superscript"/>
        </w:rPr>
        <w:t>16</w:t>
      </w:r>
      <w:r>
        <w:rPr>
          <w:rFonts w:ascii="Calibri"/>
          <w:spacing w:val="-2"/>
          <w:sz w:val="20"/>
        </w:rPr>
        <w:t xml:space="preserve"> </w:t>
      </w:r>
      <w:hyperlink r:id="rId63">
        <w:r>
          <w:rPr>
            <w:color w:val="BE2885"/>
            <w:sz w:val="20"/>
            <w:u w:val="single" w:color="BE2885"/>
          </w:rPr>
          <w:t>'Redesigning</w:t>
        </w:r>
        <w:r>
          <w:rPr>
            <w:color w:val="BE2885"/>
            <w:spacing w:val="-7"/>
            <w:sz w:val="20"/>
            <w:u w:val="single" w:color="BE2885"/>
          </w:rPr>
          <w:t xml:space="preserve"> </w:t>
        </w:r>
        <w:r>
          <w:rPr>
            <w:color w:val="BE2885"/>
            <w:sz w:val="20"/>
            <w:u w:val="single" w:color="BE2885"/>
          </w:rPr>
          <w:t>the</w:t>
        </w:r>
        <w:r>
          <w:rPr>
            <w:color w:val="BE2885"/>
            <w:spacing w:val="-7"/>
            <w:sz w:val="20"/>
            <w:u w:val="single" w:color="BE2885"/>
          </w:rPr>
          <w:t xml:space="preserve"> </w:t>
        </w:r>
        <w:r>
          <w:rPr>
            <w:color w:val="BE2885"/>
            <w:spacing w:val="-2"/>
            <w:sz w:val="20"/>
            <w:u w:val="single" w:color="BE2885"/>
          </w:rPr>
          <w:t>Curriculum</w:t>
        </w:r>
        <w:r>
          <w:rPr>
            <w:color w:val="BE2885"/>
            <w:spacing w:val="-2"/>
            <w:sz w:val="20"/>
          </w:rPr>
          <w:t>'</w:t>
        </w:r>
        <w:r>
          <w:rPr>
            <w:color w:val="142943"/>
            <w:spacing w:val="-2"/>
            <w:sz w:val="20"/>
          </w:rPr>
          <w:t>,</w:t>
        </w:r>
      </w:hyperlink>
      <w:r>
        <w:rPr>
          <w:color w:val="142943"/>
          <w:spacing w:val="-2"/>
          <w:sz w:val="20"/>
          <w:vertAlign w:val="superscript"/>
        </w:rPr>
        <w:t>16</w:t>
      </w:r>
    </w:p>
    <w:p w14:paraId="47E9251E" w14:textId="77777777" w:rsidR="000E61B1" w:rsidRDefault="000E61B1">
      <w:pPr>
        <w:rPr>
          <w:sz w:val="20"/>
        </w:rPr>
        <w:sectPr w:rsidR="000E61B1">
          <w:pgSz w:w="11910" w:h="16840"/>
          <w:pgMar w:top="1400" w:right="1220" w:bottom="280" w:left="1220" w:header="708" w:footer="0" w:gutter="0"/>
          <w:cols w:space="720"/>
        </w:sectPr>
      </w:pPr>
    </w:p>
    <w:p w14:paraId="5641C89D" w14:textId="77777777" w:rsidR="000E61B1" w:rsidRDefault="00000000">
      <w:pPr>
        <w:spacing w:before="30" w:line="259" w:lineRule="auto"/>
        <w:ind w:left="220" w:right="220"/>
        <w:jc w:val="both"/>
        <w:rPr>
          <w:i/>
        </w:rPr>
      </w:pPr>
      <w:r>
        <w:rPr>
          <w:i/>
        </w:rPr>
        <w:lastRenderedPageBreak/>
        <w:t>research, a social media campaign, the redesign of a process, promotional videos, the creation</w:t>
      </w:r>
      <w:r>
        <w:rPr>
          <w:i/>
          <w:spacing w:val="-8"/>
        </w:rPr>
        <w:t xml:space="preserve"> </w:t>
      </w:r>
      <w:r>
        <w:rPr>
          <w:i/>
        </w:rPr>
        <w:t>of</w:t>
      </w:r>
      <w:r>
        <w:rPr>
          <w:i/>
          <w:spacing w:val="-9"/>
        </w:rPr>
        <w:t xml:space="preserve"> </w:t>
      </w:r>
      <w:r>
        <w:rPr>
          <w:i/>
        </w:rPr>
        <w:t>a</w:t>
      </w:r>
      <w:r>
        <w:rPr>
          <w:i/>
          <w:spacing w:val="-13"/>
        </w:rPr>
        <w:t xml:space="preserve"> </w:t>
      </w:r>
      <w:r>
        <w:rPr>
          <w:i/>
        </w:rPr>
        <w:t>piece</w:t>
      </w:r>
      <w:r>
        <w:rPr>
          <w:i/>
          <w:spacing w:val="-8"/>
        </w:rPr>
        <w:t xml:space="preserve"> </w:t>
      </w:r>
      <w:r>
        <w:rPr>
          <w:i/>
        </w:rPr>
        <w:t>of</w:t>
      </w:r>
      <w:r>
        <w:rPr>
          <w:i/>
          <w:spacing w:val="-9"/>
        </w:rPr>
        <w:t xml:space="preserve"> </w:t>
      </w:r>
      <w:r>
        <w:rPr>
          <w:i/>
        </w:rPr>
        <w:t>art,</w:t>
      </w:r>
      <w:r>
        <w:rPr>
          <w:i/>
          <w:spacing w:val="-9"/>
        </w:rPr>
        <w:t xml:space="preserve"> </w:t>
      </w:r>
      <w:r>
        <w:rPr>
          <w:i/>
        </w:rPr>
        <w:t>or</w:t>
      </w:r>
      <w:r>
        <w:rPr>
          <w:i/>
          <w:spacing w:val="-11"/>
        </w:rPr>
        <w:t xml:space="preserve"> </w:t>
      </w:r>
      <w:r>
        <w:rPr>
          <w:i/>
        </w:rPr>
        <w:t>the</w:t>
      </w:r>
      <w:r>
        <w:rPr>
          <w:i/>
          <w:spacing w:val="-8"/>
        </w:rPr>
        <w:t xml:space="preserve"> </w:t>
      </w:r>
      <w:r>
        <w:rPr>
          <w:i/>
        </w:rPr>
        <w:t>planning</w:t>
      </w:r>
      <w:r>
        <w:rPr>
          <w:i/>
          <w:spacing w:val="-13"/>
        </w:rPr>
        <w:t xml:space="preserve"> </w:t>
      </w:r>
      <w:r>
        <w:rPr>
          <w:i/>
        </w:rPr>
        <w:t>and</w:t>
      </w:r>
      <w:r>
        <w:rPr>
          <w:i/>
          <w:spacing w:val="-8"/>
        </w:rPr>
        <w:t xml:space="preserve"> </w:t>
      </w:r>
      <w:r>
        <w:rPr>
          <w:i/>
        </w:rPr>
        <w:t>delivery</w:t>
      </w:r>
      <w:r>
        <w:rPr>
          <w:i/>
          <w:spacing w:val="-5"/>
        </w:rPr>
        <w:t xml:space="preserve"> </w:t>
      </w:r>
      <w:r>
        <w:rPr>
          <w:i/>
        </w:rPr>
        <w:t>of</w:t>
      </w:r>
      <w:r>
        <w:rPr>
          <w:i/>
          <w:spacing w:val="-9"/>
        </w:rPr>
        <w:t xml:space="preserve"> </w:t>
      </w:r>
      <w:r>
        <w:rPr>
          <w:i/>
        </w:rPr>
        <w:t>a</w:t>
      </w:r>
      <w:r>
        <w:rPr>
          <w:i/>
          <w:spacing w:val="-8"/>
        </w:rPr>
        <w:t xml:space="preserve"> </w:t>
      </w:r>
      <w:r>
        <w:rPr>
          <w:i/>
        </w:rPr>
        <w:t>community</w:t>
      </w:r>
      <w:r>
        <w:rPr>
          <w:i/>
          <w:spacing w:val="-10"/>
        </w:rPr>
        <w:t xml:space="preserve"> </w:t>
      </w:r>
      <w:r>
        <w:rPr>
          <w:i/>
        </w:rPr>
        <w:t>event</w:t>
      </w:r>
      <w:r>
        <w:rPr>
          <w:i/>
          <w:spacing w:val="-9"/>
        </w:rPr>
        <w:t xml:space="preserve"> </w:t>
      </w:r>
      <w:r>
        <w:rPr>
          <w:i/>
        </w:rPr>
        <w:t>(School</w:t>
      </w:r>
      <w:r>
        <w:rPr>
          <w:i/>
          <w:spacing w:val="-11"/>
        </w:rPr>
        <w:t xml:space="preserve"> </w:t>
      </w:r>
      <w:r>
        <w:rPr>
          <w:i/>
        </w:rPr>
        <w:t>21,</w:t>
      </w:r>
      <w:r>
        <w:rPr>
          <w:i/>
          <w:spacing w:val="-9"/>
        </w:rPr>
        <w:t xml:space="preserve"> </w:t>
      </w:r>
      <w:r>
        <w:rPr>
          <w:i/>
        </w:rPr>
        <w:t>2020)</w:t>
      </w:r>
    </w:p>
    <w:p w14:paraId="34BA0B46" w14:textId="77777777" w:rsidR="000E61B1" w:rsidRDefault="00000000">
      <w:pPr>
        <w:spacing w:before="160" w:line="259" w:lineRule="auto"/>
        <w:ind w:left="220" w:right="208"/>
        <w:jc w:val="both"/>
        <w:rPr>
          <w:b/>
          <w:i/>
        </w:rPr>
      </w:pPr>
      <w:r>
        <w:rPr>
          <w:b/>
          <w:i/>
        </w:rPr>
        <w:t>The Skills Builder Framework</w:t>
      </w:r>
      <w:r>
        <w:rPr>
          <w:i/>
        </w:rPr>
        <w:t>, developed by Enabling Enterprise (Millard et al., 2017), is gaining</w:t>
      </w:r>
      <w:r>
        <w:rPr>
          <w:i/>
          <w:spacing w:val="-4"/>
        </w:rPr>
        <w:t xml:space="preserve"> </w:t>
      </w:r>
      <w:r>
        <w:rPr>
          <w:i/>
        </w:rPr>
        <w:t>traction</w:t>
      </w:r>
      <w:r>
        <w:rPr>
          <w:i/>
          <w:spacing w:val="-4"/>
        </w:rPr>
        <w:t xml:space="preserve"> </w:t>
      </w:r>
      <w:r>
        <w:rPr>
          <w:i/>
        </w:rPr>
        <w:t>among</w:t>
      </w:r>
      <w:r>
        <w:rPr>
          <w:i/>
          <w:spacing w:val="-4"/>
        </w:rPr>
        <w:t xml:space="preserve"> </w:t>
      </w:r>
      <w:r>
        <w:rPr>
          <w:i/>
        </w:rPr>
        <w:t>schools</w:t>
      </w:r>
      <w:r>
        <w:rPr>
          <w:i/>
          <w:spacing w:val="-6"/>
        </w:rPr>
        <w:t xml:space="preserve"> </w:t>
      </w:r>
      <w:r>
        <w:rPr>
          <w:i/>
        </w:rPr>
        <w:t>and colleges</w:t>
      </w:r>
      <w:r>
        <w:rPr>
          <w:i/>
          <w:spacing w:val="-6"/>
        </w:rPr>
        <w:t xml:space="preserve"> </w:t>
      </w:r>
      <w:r>
        <w:rPr>
          <w:i/>
        </w:rPr>
        <w:t>and focuses</w:t>
      </w:r>
      <w:r>
        <w:rPr>
          <w:i/>
          <w:spacing w:val="-6"/>
        </w:rPr>
        <w:t xml:space="preserve"> </w:t>
      </w:r>
      <w:r>
        <w:rPr>
          <w:i/>
        </w:rPr>
        <w:t xml:space="preserve">on </w:t>
      </w:r>
      <w:r>
        <w:rPr>
          <w:b/>
          <w:i/>
        </w:rPr>
        <w:t>tracking</w:t>
      </w:r>
      <w:r>
        <w:rPr>
          <w:b/>
          <w:i/>
          <w:spacing w:val="-7"/>
        </w:rPr>
        <w:t xml:space="preserve"> </w:t>
      </w:r>
      <w:r>
        <w:rPr>
          <w:b/>
          <w:i/>
        </w:rPr>
        <w:t>enterprise education through the monitoring of eight skills: aiming high, creativity, leadership, listening, presenting, problem-solving, staying positive and teamwork.</w:t>
      </w:r>
    </w:p>
    <w:p w14:paraId="604F46E8" w14:textId="77777777" w:rsidR="000E61B1" w:rsidRDefault="00000000">
      <w:pPr>
        <w:spacing w:before="160" w:line="259" w:lineRule="auto"/>
        <w:ind w:left="220" w:right="212"/>
        <w:jc w:val="both"/>
      </w:pPr>
      <w:r>
        <w:t xml:space="preserve">Of </w:t>
      </w:r>
      <w:proofErr w:type="gramStart"/>
      <w:r>
        <w:t>particular note</w:t>
      </w:r>
      <w:proofErr w:type="gramEnd"/>
      <w:r>
        <w:t xml:space="preserve"> in the report is the approach taken in </w:t>
      </w:r>
      <w:r>
        <w:rPr>
          <w:b/>
        </w:rPr>
        <w:t>Finland to using quantitative and qualitative data to</w:t>
      </w:r>
      <w:r>
        <w:rPr>
          <w:b/>
          <w:spacing w:val="-2"/>
        </w:rPr>
        <w:t xml:space="preserve"> </w:t>
      </w:r>
      <w:r>
        <w:rPr>
          <w:b/>
        </w:rPr>
        <w:t>anticipate future job roles and skills and the implications of this for curriculum planning</w:t>
      </w:r>
      <w:r>
        <w:t>:</w:t>
      </w:r>
    </w:p>
    <w:p w14:paraId="5C602140" w14:textId="77777777" w:rsidR="000E61B1" w:rsidRDefault="00000000">
      <w:pPr>
        <w:spacing w:before="160" w:line="259" w:lineRule="auto"/>
        <w:ind w:left="220" w:right="215"/>
        <w:jc w:val="both"/>
        <w:rPr>
          <w:i/>
        </w:rPr>
      </w:pPr>
      <w:r>
        <w:rPr>
          <w:i/>
        </w:rPr>
        <w:t>Finland</w:t>
      </w:r>
      <w:r>
        <w:rPr>
          <w:i/>
          <w:spacing w:val="-4"/>
        </w:rPr>
        <w:t xml:space="preserve"> </w:t>
      </w:r>
      <w:r>
        <w:rPr>
          <w:i/>
        </w:rPr>
        <w:t>anticipates</w:t>
      </w:r>
      <w:r>
        <w:rPr>
          <w:i/>
          <w:spacing w:val="-6"/>
        </w:rPr>
        <w:t xml:space="preserve"> </w:t>
      </w:r>
      <w:r>
        <w:rPr>
          <w:i/>
        </w:rPr>
        <w:t>skills</w:t>
      </w:r>
      <w:r>
        <w:rPr>
          <w:i/>
          <w:spacing w:val="-6"/>
        </w:rPr>
        <w:t xml:space="preserve"> </w:t>
      </w:r>
      <w:r>
        <w:rPr>
          <w:i/>
        </w:rPr>
        <w:t>and</w:t>
      </w:r>
      <w:r>
        <w:rPr>
          <w:i/>
          <w:spacing w:val="-4"/>
        </w:rPr>
        <w:t xml:space="preserve"> </w:t>
      </w:r>
      <w:r>
        <w:rPr>
          <w:i/>
        </w:rPr>
        <w:t>training</w:t>
      </w:r>
      <w:r>
        <w:rPr>
          <w:i/>
          <w:spacing w:val="-4"/>
        </w:rPr>
        <w:t xml:space="preserve"> </w:t>
      </w:r>
      <w:r>
        <w:rPr>
          <w:i/>
        </w:rPr>
        <w:t>needs</w:t>
      </w:r>
      <w:r>
        <w:rPr>
          <w:i/>
          <w:spacing w:val="-6"/>
        </w:rPr>
        <w:t xml:space="preserve"> </w:t>
      </w:r>
      <w:r>
        <w:rPr>
          <w:i/>
        </w:rPr>
        <w:t>at</w:t>
      </w:r>
      <w:r>
        <w:rPr>
          <w:i/>
          <w:spacing w:val="-9"/>
        </w:rPr>
        <w:t xml:space="preserve"> </w:t>
      </w:r>
      <w:r>
        <w:rPr>
          <w:i/>
        </w:rPr>
        <w:t>national</w:t>
      </w:r>
      <w:r>
        <w:rPr>
          <w:i/>
          <w:spacing w:val="-7"/>
        </w:rPr>
        <w:t xml:space="preserve"> </w:t>
      </w:r>
      <w:r>
        <w:rPr>
          <w:i/>
        </w:rPr>
        <w:t>and</w:t>
      </w:r>
      <w:r>
        <w:rPr>
          <w:i/>
          <w:spacing w:val="-4"/>
        </w:rPr>
        <w:t xml:space="preserve"> </w:t>
      </w:r>
      <w:r>
        <w:rPr>
          <w:i/>
        </w:rPr>
        <w:t>regional</w:t>
      </w:r>
      <w:r>
        <w:rPr>
          <w:i/>
          <w:spacing w:val="-7"/>
        </w:rPr>
        <w:t xml:space="preserve"> </w:t>
      </w:r>
      <w:r>
        <w:rPr>
          <w:i/>
        </w:rPr>
        <w:t>levels</w:t>
      </w:r>
      <w:r>
        <w:rPr>
          <w:i/>
          <w:spacing w:val="-6"/>
        </w:rPr>
        <w:t xml:space="preserve"> </w:t>
      </w:r>
      <w:r>
        <w:rPr>
          <w:i/>
        </w:rPr>
        <w:t>with</w:t>
      </w:r>
      <w:r>
        <w:rPr>
          <w:i/>
          <w:spacing w:val="-8"/>
        </w:rPr>
        <w:t xml:space="preserve"> </w:t>
      </w:r>
      <w:r>
        <w:rPr>
          <w:i/>
        </w:rPr>
        <w:t>the</w:t>
      </w:r>
      <w:r>
        <w:rPr>
          <w:i/>
          <w:spacing w:val="-4"/>
        </w:rPr>
        <w:t xml:space="preserve"> </w:t>
      </w:r>
      <w:r>
        <w:rPr>
          <w:i/>
        </w:rPr>
        <w:t>data</w:t>
      </w:r>
      <w:r>
        <w:rPr>
          <w:i/>
          <w:spacing w:val="-4"/>
        </w:rPr>
        <w:t xml:space="preserve"> </w:t>
      </w:r>
      <w:r>
        <w:rPr>
          <w:i/>
        </w:rPr>
        <w:t>used to develop the content of education so that education provision matches demand</w:t>
      </w:r>
      <w:proofErr w:type="gramStart"/>
      <w:r>
        <w:rPr>
          <w:i/>
        </w:rPr>
        <w:t>….An</w:t>
      </w:r>
      <w:proofErr w:type="gramEnd"/>
      <w:r>
        <w:rPr>
          <w:i/>
        </w:rPr>
        <w:t xml:space="preserve"> acknowledged strength of the Finish approach is its strong engagement with stakeholders. Each anticipation group comprises social partners, educational providers, trade unions or teachers,</w:t>
      </w:r>
      <w:r>
        <w:rPr>
          <w:i/>
          <w:spacing w:val="-7"/>
        </w:rPr>
        <w:t xml:space="preserve"> </w:t>
      </w:r>
      <w:proofErr w:type="gramStart"/>
      <w:r>
        <w:rPr>
          <w:i/>
        </w:rPr>
        <w:t>researchers</w:t>
      </w:r>
      <w:proofErr w:type="gramEnd"/>
      <w:r>
        <w:rPr>
          <w:i/>
          <w:spacing w:val="-16"/>
        </w:rPr>
        <w:t xml:space="preserve"> </w:t>
      </w:r>
      <w:r>
        <w:rPr>
          <w:i/>
        </w:rPr>
        <w:t>and</w:t>
      </w:r>
      <w:r>
        <w:rPr>
          <w:i/>
          <w:spacing w:val="-4"/>
        </w:rPr>
        <w:t xml:space="preserve"> </w:t>
      </w:r>
      <w:r>
        <w:rPr>
          <w:i/>
        </w:rPr>
        <w:t>members</w:t>
      </w:r>
      <w:r>
        <w:rPr>
          <w:i/>
          <w:spacing w:val="-16"/>
        </w:rPr>
        <w:t xml:space="preserve"> </w:t>
      </w:r>
      <w:r>
        <w:rPr>
          <w:i/>
        </w:rPr>
        <w:t>of</w:t>
      </w:r>
      <w:r>
        <w:rPr>
          <w:i/>
          <w:spacing w:val="-10"/>
        </w:rPr>
        <w:t xml:space="preserve"> </w:t>
      </w:r>
      <w:r>
        <w:rPr>
          <w:i/>
        </w:rPr>
        <w:t>the</w:t>
      </w:r>
      <w:r>
        <w:rPr>
          <w:i/>
          <w:spacing w:val="-10"/>
        </w:rPr>
        <w:t xml:space="preserve"> </w:t>
      </w:r>
      <w:r>
        <w:rPr>
          <w:i/>
        </w:rPr>
        <w:t>education</w:t>
      </w:r>
      <w:r>
        <w:rPr>
          <w:i/>
          <w:spacing w:val="-10"/>
        </w:rPr>
        <w:t xml:space="preserve"> </w:t>
      </w:r>
      <w:r>
        <w:rPr>
          <w:i/>
        </w:rPr>
        <w:t>administration.</w:t>
      </w:r>
      <w:r>
        <w:rPr>
          <w:i/>
          <w:spacing w:val="-10"/>
        </w:rPr>
        <w:t xml:space="preserve"> </w:t>
      </w:r>
      <w:r>
        <w:rPr>
          <w:i/>
        </w:rPr>
        <w:t>In</w:t>
      </w:r>
      <w:r>
        <w:rPr>
          <w:i/>
          <w:spacing w:val="-14"/>
        </w:rPr>
        <w:t xml:space="preserve"> </w:t>
      </w:r>
      <w:r>
        <w:rPr>
          <w:i/>
        </w:rPr>
        <w:t>addition,</w:t>
      </w:r>
      <w:r>
        <w:rPr>
          <w:i/>
          <w:spacing w:val="-10"/>
        </w:rPr>
        <w:t xml:space="preserve"> </w:t>
      </w:r>
      <w:r>
        <w:rPr>
          <w:i/>
        </w:rPr>
        <w:t>a</w:t>
      </w:r>
      <w:r>
        <w:rPr>
          <w:i/>
          <w:spacing w:val="-10"/>
        </w:rPr>
        <w:t xml:space="preserve"> </w:t>
      </w:r>
      <w:r>
        <w:rPr>
          <w:i/>
        </w:rPr>
        <w:t>wide</w:t>
      </w:r>
      <w:r>
        <w:rPr>
          <w:i/>
          <w:spacing w:val="-5"/>
        </w:rPr>
        <w:t xml:space="preserve"> </w:t>
      </w:r>
      <w:r>
        <w:rPr>
          <w:i/>
        </w:rPr>
        <w:t>range of experts are invited to participate in the anticipation process.</w:t>
      </w:r>
    </w:p>
    <w:p w14:paraId="6EE86E76" w14:textId="77777777" w:rsidR="000E61B1" w:rsidRDefault="00000000">
      <w:pPr>
        <w:spacing w:before="156" w:line="259" w:lineRule="auto"/>
        <w:ind w:left="220" w:right="210"/>
        <w:jc w:val="both"/>
      </w:pPr>
      <w:r>
        <w:t>The report also contains interesting content on how certain providers are meeting the challenge</w:t>
      </w:r>
      <w:r>
        <w:rPr>
          <w:spacing w:val="-4"/>
        </w:rPr>
        <w:t xml:space="preserve"> </w:t>
      </w:r>
      <w:r>
        <w:t xml:space="preserve">of </w:t>
      </w:r>
      <w:r>
        <w:rPr>
          <w:b/>
        </w:rPr>
        <w:t>providing</w:t>
      </w:r>
      <w:r>
        <w:rPr>
          <w:b/>
          <w:spacing w:val="-2"/>
        </w:rPr>
        <w:t xml:space="preserve"> </w:t>
      </w:r>
      <w:r>
        <w:rPr>
          <w:b/>
        </w:rPr>
        <w:t>flexible</w:t>
      </w:r>
      <w:r>
        <w:rPr>
          <w:b/>
          <w:spacing w:val="-4"/>
        </w:rPr>
        <w:t xml:space="preserve"> </w:t>
      </w:r>
      <w:r>
        <w:rPr>
          <w:b/>
        </w:rPr>
        <w:t>learning</w:t>
      </w:r>
      <w:r>
        <w:rPr>
          <w:b/>
          <w:spacing w:val="-7"/>
        </w:rPr>
        <w:t xml:space="preserve"> </w:t>
      </w:r>
      <w:r>
        <w:rPr>
          <w:b/>
        </w:rPr>
        <w:t>packages</w:t>
      </w:r>
      <w:r>
        <w:rPr>
          <w:b/>
          <w:spacing w:val="-4"/>
        </w:rPr>
        <w:t xml:space="preserve"> </w:t>
      </w:r>
      <w:r>
        <w:rPr>
          <w:b/>
        </w:rPr>
        <w:t>which</w:t>
      </w:r>
      <w:r>
        <w:rPr>
          <w:b/>
          <w:spacing w:val="-6"/>
        </w:rPr>
        <w:t xml:space="preserve"> </w:t>
      </w:r>
      <w:r>
        <w:rPr>
          <w:b/>
        </w:rPr>
        <w:t>can</w:t>
      </w:r>
      <w:r>
        <w:rPr>
          <w:b/>
          <w:spacing w:val="-2"/>
        </w:rPr>
        <w:t xml:space="preserve"> </w:t>
      </w:r>
      <w:r>
        <w:rPr>
          <w:b/>
        </w:rPr>
        <w:t>be built</w:t>
      </w:r>
      <w:r>
        <w:rPr>
          <w:b/>
          <w:spacing w:val="-8"/>
        </w:rPr>
        <w:t xml:space="preserve"> </w:t>
      </w:r>
      <w:r>
        <w:rPr>
          <w:b/>
        </w:rPr>
        <w:t>around</w:t>
      </w:r>
      <w:r>
        <w:rPr>
          <w:b/>
          <w:spacing w:val="-2"/>
        </w:rPr>
        <w:t xml:space="preserve"> </w:t>
      </w:r>
      <w:r>
        <w:rPr>
          <w:b/>
        </w:rPr>
        <w:t>the</w:t>
      </w:r>
      <w:r>
        <w:rPr>
          <w:b/>
          <w:spacing w:val="-5"/>
        </w:rPr>
        <w:t xml:space="preserve"> </w:t>
      </w:r>
      <w:r>
        <w:rPr>
          <w:b/>
        </w:rPr>
        <w:t>lives of students</w:t>
      </w:r>
      <w:r>
        <w:t>, using small qualifications to help learners build skills and credentials:</w:t>
      </w:r>
    </w:p>
    <w:p w14:paraId="65E29961" w14:textId="77777777" w:rsidR="000E61B1" w:rsidRDefault="00000000">
      <w:pPr>
        <w:pStyle w:val="ListParagraph"/>
        <w:numPr>
          <w:ilvl w:val="0"/>
          <w:numId w:val="1"/>
        </w:numPr>
        <w:tabs>
          <w:tab w:val="left" w:pos="941"/>
        </w:tabs>
        <w:spacing w:before="160" w:line="259" w:lineRule="auto"/>
        <w:ind w:right="210"/>
        <w:jc w:val="both"/>
        <w:rPr>
          <w:rFonts w:ascii="Symbol" w:hAnsi="Symbol"/>
        </w:rPr>
      </w:pPr>
      <w:r>
        <w:rPr>
          <w:b/>
          <w:i/>
        </w:rPr>
        <w:t xml:space="preserve">Alternative qualifications </w:t>
      </w:r>
      <w:r>
        <w:rPr>
          <w:i/>
        </w:rPr>
        <w:t xml:space="preserve">including micro-credentials, digital badges and </w:t>
      </w:r>
      <w:proofErr w:type="spellStart"/>
      <w:r>
        <w:rPr>
          <w:i/>
        </w:rPr>
        <w:t>nanocredentials</w:t>
      </w:r>
      <w:proofErr w:type="spellEnd"/>
      <w:r>
        <w:rPr>
          <w:i/>
        </w:rPr>
        <w:t xml:space="preserve"> are generally understood to be short educational qualifications enabling individuals to learn at their own pace and to build their own skills profile. Although in existence for some time, the recent surge in interest in micro-credentials is underpinned by notions of up-skilling and re-skilling workforces in response to the pandemic,</w:t>
      </w:r>
      <w:r>
        <w:rPr>
          <w:i/>
          <w:spacing w:val="-10"/>
        </w:rPr>
        <w:t xml:space="preserve"> </w:t>
      </w:r>
      <w:proofErr w:type="gramStart"/>
      <w:r>
        <w:rPr>
          <w:i/>
        </w:rPr>
        <w:t>AI</w:t>
      </w:r>
      <w:proofErr w:type="gramEnd"/>
      <w:r>
        <w:rPr>
          <w:i/>
          <w:spacing w:val="-10"/>
        </w:rPr>
        <w:t xml:space="preserve"> </w:t>
      </w:r>
      <w:r>
        <w:rPr>
          <w:i/>
        </w:rPr>
        <w:t>and</w:t>
      </w:r>
      <w:r>
        <w:rPr>
          <w:i/>
          <w:spacing w:val="-9"/>
        </w:rPr>
        <w:t xml:space="preserve"> </w:t>
      </w:r>
      <w:r>
        <w:rPr>
          <w:i/>
        </w:rPr>
        <w:t>automation.</w:t>
      </w:r>
      <w:r>
        <w:rPr>
          <w:i/>
          <w:spacing w:val="-5"/>
        </w:rPr>
        <w:t xml:space="preserve"> </w:t>
      </w:r>
      <w:r>
        <w:rPr>
          <w:i/>
        </w:rPr>
        <w:t>For</w:t>
      </w:r>
      <w:r>
        <w:rPr>
          <w:i/>
          <w:spacing w:val="-8"/>
        </w:rPr>
        <w:t xml:space="preserve"> </w:t>
      </w:r>
      <w:r>
        <w:rPr>
          <w:i/>
        </w:rPr>
        <w:t>the</w:t>
      </w:r>
      <w:r>
        <w:rPr>
          <w:i/>
          <w:spacing w:val="-9"/>
        </w:rPr>
        <w:t xml:space="preserve"> </w:t>
      </w:r>
      <w:r>
        <w:rPr>
          <w:i/>
        </w:rPr>
        <w:t>most</w:t>
      </w:r>
      <w:r>
        <w:rPr>
          <w:i/>
          <w:spacing w:val="-10"/>
        </w:rPr>
        <w:t xml:space="preserve"> </w:t>
      </w:r>
      <w:r>
        <w:rPr>
          <w:i/>
        </w:rPr>
        <w:t>part,</w:t>
      </w:r>
      <w:r>
        <w:rPr>
          <w:i/>
          <w:spacing w:val="-10"/>
        </w:rPr>
        <w:t xml:space="preserve"> </w:t>
      </w:r>
      <w:r>
        <w:rPr>
          <w:i/>
        </w:rPr>
        <w:t>alternative</w:t>
      </w:r>
      <w:r>
        <w:rPr>
          <w:i/>
          <w:spacing w:val="-9"/>
        </w:rPr>
        <w:t xml:space="preserve"> </w:t>
      </w:r>
      <w:r>
        <w:rPr>
          <w:i/>
        </w:rPr>
        <w:t>credentials</w:t>
      </w:r>
      <w:r>
        <w:rPr>
          <w:i/>
          <w:spacing w:val="-11"/>
        </w:rPr>
        <w:t xml:space="preserve"> </w:t>
      </w:r>
      <w:r>
        <w:rPr>
          <w:i/>
        </w:rPr>
        <w:t>have</w:t>
      </w:r>
      <w:r>
        <w:rPr>
          <w:i/>
          <w:spacing w:val="-9"/>
        </w:rPr>
        <w:t xml:space="preserve"> </w:t>
      </w:r>
      <w:r>
        <w:rPr>
          <w:i/>
        </w:rPr>
        <w:t>been</w:t>
      </w:r>
      <w:r>
        <w:rPr>
          <w:i/>
          <w:spacing w:val="-9"/>
        </w:rPr>
        <w:t xml:space="preserve"> </w:t>
      </w:r>
      <w:r>
        <w:rPr>
          <w:i/>
        </w:rPr>
        <w:t>the province of higher education with an emphasis on the importance of technical education and skills development and the need for increased flexibility and responsiveness to the needs of employers and society.</w:t>
      </w:r>
    </w:p>
    <w:p w14:paraId="41230976" w14:textId="77777777" w:rsidR="000E61B1" w:rsidRDefault="000E61B1">
      <w:pPr>
        <w:pStyle w:val="BodyText"/>
        <w:spacing w:before="4"/>
        <w:rPr>
          <w:i/>
          <w:sz w:val="23"/>
        </w:rPr>
      </w:pPr>
    </w:p>
    <w:p w14:paraId="782ECAEE" w14:textId="77777777" w:rsidR="000E61B1" w:rsidRDefault="00000000">
      <w:pPr>
        <w:pStyle w:val="ListParagraph"/>
        <w:numPr>
          <w:ilvl w:val="0"/>
          <w:numId w:val="1"/>
        </w:numPr>
        <w:tabs>
          <w:tab w:val="left" w:pos="941"/>
        </w:tabs>
        <w:spacing w:before="1" w:line="259" w:lineRule="auto"/>
        <w:ind w:right="207"/>
        <w:jc w:val="both"/>
        <w:rPr>
          <w:rFonts w:ascii="Symbol" w:hAnsi="Symbol"/>
        </w:rPr>
      </w:pPr>
      <w:r>
        <w:rPr>
          <w:b/>
          <w:i/>
        </w:rPr>
        <w:t xml:space="preserve">Beenleigh State High School, in Queensland, Australia </w:t>
      </w:r>
      <w:r>
        <w:rPr>
          <w:i/>
        </w:rPr>
        <w:t>implemented micro- credentials</w:t>
      </w:r>
      <w:r>
        <w:rPr>
          <w:i/>
          <w:spacing w:val="-5"/>
        </w:rPr>
        <w:t xml:space="preserve"> </w:t>
      </w:r>
      <w:r>
        <w:rPr>
          <w:i/>
        </w:rPr>
        <w:t>and digital</w:t>
      </w:r>
      <w:r>
        <w:rPr>
          <w:i/>
          <w:spacing w:val="-1"/>
        </w:rPr>
        <w:t xml:space="preserve"> </w:t>
      </w:r>
      <w:r>
        <w:rPr>
          <w:i/>
        </w:rPr>
        <w:t>badging in recognition that many of their</w:t>
      </w:r>
      <w:r>
        <w:rPr>
          <w:i/>
          <w:spacing w:val="-2"/>
        </w:rPr>
        <w:t xml:space="preserve"> </w:t>
      </w:r>
      <w:r>
        <w:rPr>
          <w:i/>
        </w:rPr>
        <w:t>students leave school to</w:t>
      </w:r>
      <w:r>
        <w:rPr>
          <w:i/>
          <w:spacing w:val="-9"/>
        </w:rPr>
        <w:t xml:space="preserve"> </w:t>
      </w:r>
      <w:r>
        <w:rPr>
          <w:i/>
        </w:rPr>
        <w:t>go</w:t>
      </w:r>
      <w:r>
        <w:rPr>
          <w:i/>
          <w:spacing w:val="-14"/>
        </w:rPr>
        <w:t xml:space="preserve"> </w:t>
      </w:r>
      <w:r>
        <w:rPr>
          <w:i/>
        </w:rPr>
        <w:t>directly</w:t>
      </w:r>
      <w:r>
        <w:rPr>
          <w:i/>
          <w:spacing w:val="-11"/>
        </w:rPr>
        <w:t xml:space="preserve"> </w:t>
      </w:r>
      <w:r>
        <w:rPr>
          <w:i/>
        </w:rPr>
        <w:t>into</w:t>
      </w:r>
      <w:r>
        <w:rPr>
          <w:i/>
          <w:spacing w:val="-9"/>
        </w:rPr>
        <w:t xml:space="preserve"> </w:t>
      </w:r>
      <w:r>
        <w:rPr>
          <w:i/>
        </w:rPr>
        <w:t>the</w:t>
      </w:r>
      <w:r>
        <w:rPr>
          <w:i/>
          <w:spacing w:val="-14"/>
        </w:rPr>
        <w:t xml:space="preserve"> </w:t>
      </w:r>
      <w:r>
        <w:rPr>
          <w:i/>
        </w:rPr>
        <w:t>workforce.</w:t>
      </w:r>
      <w:r>
        <w:rPr>
          <w:i/>
          <w:spacing w:val="-10"/>
        </w:rPr>
        <w:t xml:space="preserve"> </w:t>
      </w:r>
      <w:r>
        <w:rPr>
          <w:i/>
        </w:rPr>
        <w:t>They</w:t>
      </w:r>
      <w:r>
        <w:rPr>
          <w:i/>
          <w:spacing w:val="-15"/>
        </w:rPr>
        <w:t xml:space="preserve"> </w:t>
      </w:r>
      <w:r>
        <w:rPr>
          <w:i/>
        </w:rPr>
        <w:t>wanted</w:t>
      </w:r>
      <w:r>
        <w:rPr>
          <w:i/>
          <w:spacing w:val="-9"/>
        </w:rPr>
        <w:t xml:space="preserve"> </w:t>
      </w:r>
      <w:r>
        <w:rPr>
          <w:i/>
        </w:rPr>
        <w:t>a</w:t>
      </w:r>
      <w:r>
        <w:rPr>
          <w:i/>
          <w:spacing w:val="-9"/>
        </w:rPr>
        <w:t xml:space="preserve"> </w:t>
      </w:r>
      <w:r>
        <w:rPr>
          <w:i/>
        </w:rPr>
        <w:t>way</w:t>
      </w:r>
      <w:r>
        <w:rPr>
          <w:i/>
          <w:spacing w:val="-11"/>
        </w:rPr>
        <w:t xml:space="preserve"> </w:t>
      </w:r>
      <w:r>
        <w:rPr>
          <w:i/>
        </w:rPr>
        <w:t>to</w:t>
      </w:r>
      <w:r>
        <w:rPr>
          <w:i/>
          <w:spacing w:val="-14"/>
        </w:rPr>
        <w:t xml:space="preserve"> </w:t>
      </w:r>
      <w:r>
        <w:rPr>
          <w:i/>
        </w:rPr>
        <w:t>draw</w:t>
      </w:r>
      <w:r>
        <w:rPr>
          <w:i/>
          <w:spacing w:val="-12"/>
        </w:rPr>
        <w:t xml:space="preserve"> </w:t>
      </w:r>
      <w:r>
        <w:rPr>
          <w:i/>
        </w:rPr>
        <w:t>attention</w:t>
      </w:r>
      <w:r>
        <w:rPr>
          <w:i/>
          <w:spacing w:val="-9"/>
        </w:rPr>
        <w:t xml:space="preserve"> </w:t>
      </w:r>
      <w:r>
        <w:rPr>
          <w:i/>
        </w:rPr>
        <w:t>to</w:t>
      </w:r>
      <w:r>
        <w:rPr>
          <w:i/>
          <w:spacing w:val="-14"/>
        </w:rPr>
        <w:t xml:space="preserve"> </w:t>
      </w:r>
      <w:r>
        <w:rPr>
          <w:i/>
        </w:rPr>
        <w:t>and</w:t>
      </w:r>
      <w:r>
        <w:rPr>
          <w:i/>
          <w:spacing w:val="-9"/>
        </w:rPr>
        <w:t xml:space="preserve"> </w:t>
      </w:r>
      <w:proofErr w:type="spellStart"/>
      <w:r>
        <w:rPr>
          <w:i/>
        </w:rPr>
        <w:t>recognise</w:t>
      </w:r>
      <w:proofErr w:type="spellEnd"/>
      <w:r>
        <w:rPr>
          <w:i/>
        </w:rPr>
        <w:t xml:space="preserve"> </w:t>
      </w:r>
      <w:r>
        <w:rPr>
          <w:b/>
          <w:i/>
        </w:rPr>
        <w:t xml:space="preserve">employability skills </w:t>
      </w:r>
      <w:r>
        <w:rPr>
          <w:i/>
        </w:rPr>
        <w:t>to enable their students to make successful transitions. Four general capabilities are assessed: initiative and creativity, problem-solving, collaboration</w:t>
      </w:r>
      <w:r>
        <w:rPr>
          <w:i/>
          <w:spacing w:val="-4"/>
        </w:rPr>
        <w:t xml:space="preserve"> </w:t>
      </w:r>
      <w:r>
        <w:rPr>
          <w:i/>
        </w:rPr>
        <w:t>and teamwork,</w:t>
      </w:r>
      <w:r>
        <w:rPr>
          <w:i/>
          <w:spacing w:val="-5"/>
        </w:rPr>
        <w:t xml:space="preserve"> </w:t>
      </w:r>
      <w:r>
        <w:rPr>
          <w:i/>
        </w:rPr>
        <w:t>and self-management and the</w:t>
      </w:r>
      <w:r>
        <w:rPr>
          <w:i/>
          <w:spacing w:val="-4"/>
        </w:rPr>
        <w:t xml:space="preserve"> </w:t>
      </w:r>
      <w:r>
        <w:rPr>
          <w:i/>
        </w:rPr>
        <w:t>badges</w:t>
      </w:r>
      <w:r>
        <w:rPr>
          <w:i/>
          <w:spacing w:val="-1"/>
        </w:rPr>
        <w:t xml:space="preserve"> </w:t>
      </w:r>
      <w:r>
        <w:rPr>
          <w:i/>
        </w:rPr>
        <w:t>progress</w:t>
      </w:r>
      <w:r>
        <w:rPr>
          <w:i/>
          <w:spacing w:val="-1"/>
        </w:rPr>
        <w:t xml:space="preserve"> </w:t>
      </w:r>
      <w:r>
        <w:rPr>
          <w:i/>
        </w:rPr>
        <w:t xml:space="preserve">in levels from bronze to platinum. In addition, there are badges focusing on specific industry skills for example, barista, commercial design, digital literacies, </w:t>
      </w:r>
      <w:proofErr w:type="gramStart"/>
      <w:r>
        <w:rPr>
          <w:i/>
        </w:rPr>
        <w:t>hospitality</w:t>
      </w:r>
      <w:proofErr w:type="gramEnd"/>
      <w:r>
        <w:rPr>
          <w:i/>
        </w:rPr>
        <w:t xml:space="preserve"> and metal machining. The development of this initiative involved consultation with the school community</w:t>
      </w:r>
      <w:r>
        <w:rPr>
          <w:i/>
          <w:spacing w:val="-16"/>
        </w:rPr>
        <w:t xml:space="preserve"> </w:t>
      </w:r>
      <w:r>
        <w:rPr>
          <w:i/>
        </w:rPr>
        <w:t>and</w:t>
      </w:r>
      <w:r>
        <w:rPr>
          <w:i/>
          <w:spacing w:val="-9"/>
        </w:rPr>
        <w:t xml:space="preserve"> </w:t>
      </w:r>
      <w:r>
        <w:rPr>
          <w:i/>
        </w:rPr>
        <w:t>community</w:t>
      </w:r>
      <w:r>
        <w:rPr>
          <w:i/>
          <w:spacing w:val="-10"/>
        </w:rPr>
        <w:t xml:space="preserve"> </w:t>
      </w:r>
      <w:r>
        <w:rPr>
          <w:i/>
        </w:rPr>
        <w:t>stakeholders</w:t>
      </w:r>
      <w:r>
        <w:rPr>
          <w:i/>
          <w:spacing w:val="-10"/>
        </w:rPr>
        <w:t xml:space="preserve"> </w:t>
      </w:r>
      <w:r>
        <w:rPr>
          <w:i/>
        </w:rPr>
        <w:t>including</w:t>
      </w:r>
      <w:r>
        <w:rPr>
          <w:i/>
          <w:spacing w:val="-16"/>
        </w:rPr>
        <w:t xml:space="preserve"> </w:t>
      </w:r>
      <w:r>
        <w:rPr>
          <w:i/>
        </w:rPr>
        <w:t>local</w:t>
      </w:r>
      <w:r>
        <w:rPr>
          <w:i/>
          <w:spacing w:val="-10"/>
        </w:rPr>
        <w:t xml:space="preserve"> </w:t>
      </w:r>
      <w:r>
        <w:rPr>
          <w:i/>
        </w:rPr>
        <w:t>industries</w:t>
      </w:r>
      <w:r>
        <w:rPr>
          <w:i/>
          <w:spacing w:val="-15"/>
        </w:rPr>
        <w:t xml:space="preserve"> </w:t>
      </w:r>
      <w:r>
        <w:rPr>
          <w:i/>
        </w:rPr>
        <w:t>and</w:t>
      </w:r>
      <w:r>
        <w:rPr>
          <w:i/>
          <w:spacing w:val="-8"/>
        </w:rPr>
        <w:t xml:space="preserve"> </w:t>
      </w:r>
      <w:r>
        <w:rPr>
          <w:i/>
        </w:rPr>
        <w:t>businesses</w:t>
      </w:r>
      <w:r>
        <w:rPr>
          <w:i/>
          <w:spacing w:val="-15"/>
        </w:rPr>
        <w:t xml:space="preserve"> </w:t>
      </w:r>
      <w:r>
        <w:rPr>
          <w:i/>
        </w:rPr>
        <w:t xml:space="preserve">and a system of co-badging is in place to allow local businesses and community </w:t>
      </w:r>
      <w:proofErr w:type="spellStart"/>
      <w:r>
        <w:rPr>
          <w:i/>
        </w:rPr>
        <w:t>organisations</w:t>
      </w:r>
      <w:proofErr w:type="spellEnd"/>
      <w:r>
        <w:rPr>
          <w:i/>
        </w:rPr>
        <w:t xml:space="preserve"> to validate the credentials (The Educator Australia, 2020)</w:t>
      </w:r>
    </w:p>
    <w:p w14:paraId="362C0F36" w14:textId="77777777" w:rsidR="000E61B1" w:rsidRDefault="000E61B1">
      <w:pPr>
        <w:pStyle w:val="BodyText"/>
        <w:spacing w:before="6"/>
        <w:rPr>
          <w:i/>
          <w:sz w:val="23"/>
        </w:rPr>
      </w:pPr>
    </w:p>
    <w:p w14:paraId="5350631B" w14:textId="77777777" w:rsidR="000E61B1" w:rsidRDefault="00000000">
      <w:pPr>
        <w:pStyle w:val="ListParagraph"/>
        <w:numPr>
          <w:ilvl w:val="0"/>
          <w:numId w:val="1"/>
        </w:numPr>
        <w:tabs>
          <w:tab w:val="left" w:pos="941"/>
        </w:tabs>
        <w:spacing w:before="1" w:line="259" w:lineRule="auto"/>
        <w:ind w:right="213"/>
        <w:jc w:val="both"/>
        <w:rPr>
          <w:rFonts w:ascii="Symbol" w:hAnsi="Symbol"/>
        </w:rPr>
      </w:pPr>
      <w:r>
        <w:rPr>
          <w:b/>
          <w:i/>
        </w:rPr>
        <w:t>In</w:t>
      </w:r>
      <w:r>
        <w:rPr>
          <w:b/>
          <w:i/>
          <w:spacing w:val="-7"/>
        </w:rPr>
        <w:t xml:space="preserve"> </w:t>
      </w:r>
      <w:r>
        <w:rPr>
          <w:b/>
          <w:i/>
        </w:rPr>
        <w:t>the</w:t>
      </w:r>
      <w:r>
        <w:rPr>
          <w:b/>
          <w:i/>
          <w:spacing w:val="-6"/>
        </w:rPr>
        <w:t xml:space="preserve"> </w:t>
      </w:r>
      <w:r>
        <w:rPr>
          <w:b/>
          <w:i/>
        </w:rPr>
        <w:t>US</w:t>
      </w:r>
      <w:r>
        <w:rPr>
          <w:b/>
          <w:i/>
          <w:spacing w:val="-6"/>
        </w:rPr>
        <w:t xml:space="preserve"> </w:t>
      </w:r>
      <w:r>
        <w:rPr>
          <w:b/>
          <w:i/>
        </w:rPr>
        <w:t>the</w:t>
      </w:r>
      <w:r>
        <w:rPr>
          <w:b/>
          <w:i/>
          <w:spacing w:val="-6"/>
        </w:rPr>
        <w:t xml:space="preserve"> </w:t>
      </w:r>
      <w:r>
        <w:rPr>
          <w:b/>
          <w:i/>
        </w:rPr>
        <w:t>Aurora</w:t>
      </w:r>
      <w:r>
        <w:rPr>
          <w:b/>
          <w:i/>
          <w:spacing w:val="-9"/>
        </w:rPr>
        <w:t xml:space="preserve"> </w:t>
      </w:r>
      <w:r>
        <w:rPr>
          <w:b/>
          <w:i/>
        </w:rPr>
        <w:t>Public</w:t>
      </w:r>
      <w:r>
        <w:rPr>
          <w:b/>
          <w:i/>
          <w:spacing w:val="-5"/>
        </w:rPr>
        <w:t xml:space="preserve"> </w:t>
      </w:r>
      <w:r>
        <w:rPr>
          <w:b/>
          <w:i/>
        </w:rPr>
        <w:t>Schools</w:t>
      </w:r>
      <w:r>
        <w:rPr>
          <w:i/>
        </w:rPr>
        <w:t>,</w:t>
      </w:r>
      <w:r>
        <w:rPr>
          <w:i/>
          <w:spacing w:val="-6"/>
        </w:rPr>
        <w:t xml:space="preserve"> </w:t>
      </w:r>
      <w:r>
        <w:rPr>
          <w:i/>
        </w:rPr>
        <w:t>working</w:t>
      </w:r>
      <w:r>
        <w:rPr>
          <w:i/>
          <w:spacing w:val="-5"/>
        </w:rPr>
        <w:t xml:space="preserve"> </w:t>
      </w:r>
      <w:r>
        <w:rPr>
          <w:i/>
        </w:rPr>
        <w:t>with</w:t>
      </w:r>
      <w:r>
        <w:rPr>
          <w:i/>
          <w:spacing w:val="-5"/>
        </w:rPr>
        <w:t xml:space="preserve"> </w:t>
      </w:r>
      <w:r>
        <w:rPr>
          <w:i/>
        </w:rPr>
        <w:t>area</w:t>
      </w:r>
      <w:r>
        <w:rPr>
          <w:i/>
          <w:spacing w:val="-10"/>
        </w:rPr>
        <w:t xml:space="preserve"> </w:t>
      </w:r>
      <w:r>
        <w:rPr>
          <w:i/>
        </w:rPr>
        <w:t>employers,</w:t>
      </w:r>
      <w:r>
        <w:rPr>
          <w:i/>
          <w:spacing w:val="-11"/>
        </w:rPr>
        <w:t xml:space="preserve"> </w:t>
      </w:r>
      <w:r>
        <w:rPr>
          <w:i/>
        </w:rPr>
        <w:t>have</w:t>
      </w:r>
      <w:r>
        <w:rPr>
          <w:i/>
          <w:spacing w:val="-5"/>
        </w:rPr>
        <w:t xml:space="preserve"> </w:t>
      </w:r>
      <w:r>
        <w:rPr>
          <w:i/>
        </w:rPr>
        <w:t xml:space="preserve">developed a district-wide college and </w:t>
      </w:r>
      <w:r>
        <w:rPr>
          <w:b/>
          <w:i/>
        </w:rPr>
        <w:t xml:space="preserve">career-readiness badging ecosystem </w:t>
      </w:r>
      <w:r>
        <w:rPr>
          <w:i/>
        </w:rPr>
        <w:t xml:space="preserve">focused on 21st century competences: critical thinking, invention, self-direction, </w:t>
      </w:r>
      <w:proofErr w:type="gramStart"/>
      <w:r>
        <w:rPr>
          <w:i/>
        </w:rPr>
        <w:t>collaboration</w:t>
      </w:r>
      <w:proofErr w:type="gramEnd"/>
      <w:r>
        <w:rPr>
          <w:i/>
        </w:rPr>
        <w:t xml:space="preserve"> and information</w:t>
      </w:r>
      <w:r>
        <w:rPr>
          <w:i/>
          <w:spacing w:val="-5"/>
        </w:rPr>
        <w:t xml:space="preserve"> </w:t>
      </w:r>
      <w:r>
        <w:rPr>
          <w:i/>
        </w:rPr>
        <w:t>literacy.</w:t>
      </w:r>
      <w:r>
        <w:rPr>
          <w:i/>
          <w:spacing w:val="-1"/>
        </w:rPr>
        <w:t xml:space="preserve"> </w:t>
      </w:r>
      <w:r>
        <w:rPr>
          <w:i/>
        </w:rPr>
        <w:t>Employers</w:t>
      </w:r>
      <w:r>
        <w:rPr>
          <w:i/>
          <w:spacing w:val="-2"/>
        </w:rPr>
        <w:t xml:space="preserve"> </w:t>
      </w:r>
      <w:r>
        <w:rPr>
          <w:i/>
        </w:rPr>
        <w:t>help</w:t>
      </w:r>
      <w:r>
        <w:rPr>
          <w:i/>
          <w:spacing w:val="-1"/>
        </w:rPr>
        <w:t xml:space="preserve"> </w:t>
      </w:r>
      <w:r>
        <w:rPr>
          <w:i/>
        </w:rPr>
        <w:t>validate</w:t>
      </w:r>
      <w:r>
        <w:rPr>
          <w:i/>
          <w:spacing w:val="-5"/>
        </w:rPr>
        <w:t xml:space="preserve"> </w:t>
      </w:r>
      <w:r>
        <w:rPr>
          <w:i/>
        </w:rPr>
        <w:t>the</w:t>
      </w:r>
      <w:r>
        <w:rPr>
          <w:i/>
          <w:spacing w:val="-1"/>
        </w:rPr>
        <w:t xml:space="preserve"> </w:t>
      </w:r>
      <w:r>
        <w:rPr>
          <w:i/>
        </w:rPr>
        <w:t>badges</w:t>
      </w:r>
      <w:r>
        <w:rPr>
          <w:i/>
          <w:spacing w:val="-7"/>
        </w:rPr>
        <w:t xml:space="preserve"> </w:t>
      </w:r>
      <w:r>
        <w:rPr>
          <w:i/>
        </w:rPr>
        <w:t>and</w:t>
      </w:r>
      <w:r>
        <w:rPr>
          <w:i/>
          <w:spacing w:val="-1"/>
        </w:rPr>
        <w:t xml:space="preserve"> </w:t>
      </w:r>
      <w:r>
        <w:rPr>
          <w:i/>
        </w:rPr>
        <w:t>the</w:t>
      </w:r>
      <w:r>
        <w:rPr>
          <w:i/>
          <w:spacing w:val="-5"/>
        </w:rPr>
        <w:t xml:space="preserve"> </w:t>
      </w:r>
      <w:r>
        <w:rPr>
          <w:i/>
        </w:rPr>
        <w:t>underpinning</w:t>
      </w:r>
      <w:r>
        <w:rPr>
          <w:i/>
          <w:spacing w:val="-1"/>
        </w:rPr>
        <w:t xml:space="preserve"> </w:t>
      </w:r>
      <w:r>
        <w:rPr>
          <w:i/>
        </w:rPr>
        <w:t>criteria for the award in addition to providing industry-related learning opportunities for the students.</w:t>
      </w:r>
      <w:r>
        <w:rPr>
          <w:i/>
          <w:spacing w:val="-16"/>
        </w:rPr>
        <w:t xml:space="preserve"> </w:t>
      </w:r>
      <w:r>
        <w:rPr>
          <w:i/>
        </w:rPr>
        <w:t>Interestingly,</w:t>
      </w:r>
      <w:r>
        <w:rPr>
          <w:i/>
          <w:spacing w:val="-15"/>
        </w:rPr>
        <w:t xml:space="preserve"> </w:t>
      </w:r>
      <w:r>
        <w:rPr>
          <w:i/>
        </w:rPr>
        <w:t>the</w:t>
      </w:r>
      <w:r>
        <w:rPr>
          <w:i/>
          <w:spacing w:val="-15"/>
        </w:rPr>
        <w:t xml:space="preserve"> </w:t>
      </w:r>
      <w:r>
        <w:rPr>
          <w:i/>
        </w:rPr>
        <w:t>badges</w:t>
      </w:r>
      <w:r>
        <w:rPr>
          <w:i/>
          <w:spacing w:val="-16"/>
        </w:rPr>
        <w:t xml:space="preserve"> </w:t>
      </w:r>
      <w:r>
        <w:rPr>
          <w:i/>
        </w:rPr>
        <w:t>can</w:t>
      </w:r>
      <w:r>
        <w:rPr>
          <w:i/>
          <w:spacing w:val="-15"/>
        </w:rPr>
        <w:t xml:space="preserve"> </w:t>
      </w:r>
      <w:r>
        <w:rPr>
          <w:i/>
        </w:rPr>
        <w:t>be</w:t>
      </w:r>
      <w:r>
        <w:rPr>
          <w:i/>
          <w:spacing w:val="-15"/>
        </w:rPr>
        <w:t xml:space="preserve"> </w:t>
      </w:r>
      <w:r>
        <w:rPr>
          <w:i/>
        </w:rPr>
        <w:t>used</w:t>
      </w:r>
      <w:r>
        <w:rPr>
          <w:i/>
          <w:spacing w:val="-15"/>
        </w:rPr>
        <w:t xml:space="preserve"> </w:t>
      </w:r>
      <w:r>
        <w:rPr>
          <w:i/>
        </w:rPr>
        <w:t>as</w:t>
      </w:r>
      <w:r>
        <w:rPr>
          <w:i/>
          <w:spacing w:val="-16"/>
        </w:rPr>
        <w:t xml:space="preserve"> </w:t>
      </w:r>
      <w:r>
        <w:rPr>
          <w:i/>
        </w:rPr>
        <w:t>currency</w:t>
      </w:r>
      <w:r>
        <w:rPr>
          <w:i/>
          <w:spacing w:val="-15"/>
        </w:rPr>
        <w:t xml:space="preserve"> </w:t>
      </w:r>
      <w:r>
        <w:rPr>
          <w:i/>
        </w:rPr>
        <w:t>in</w:t>
      </w:r>
      <w:r>
        <w:rPr>
          <w:i/>
          <w:spacing w:val="-15"/>
        </w:rPr>
        <w:t xml:space="preserve"> </w:t>
      </w:r>
      <w:r>
        <w:rPr>
          <w:i/>
        </w:rPr>
        <w:t>the</w:t>
      </w:r>
      <w:r>
        <w:rPr>
          <w:i/>
          <w:spacing w:val="-16"/>
        </w:rPr>
        <w:t xml:space="preserve"> </w:t>
      </w:r>
      <w:r>
        <w:rPr>
          <w:i/>
        </w:rPr>
        <w:t>community</w:t>
      </w:r>
      <w:r>
        <w:rPr>
          <w:i/>
          <w:spacing w:val="-15"/>
        </w:rPr>
        <w:t xml:space="preserve"> </w:t>
      </w:r>
      <w:r>
        <w:rPr>
          <w:i/>
        </w:rPr>
        <w:t>to</w:t>
      </w:r>
      <w:r>
        <w:rPr>
          <w:i/>
          <w:spacing w:val="-15"/>
        </w:rPr>
        <w:t xml:space="preserve"> </w:t>
      </w:r>
      <w:r>
        <w:rPr>
          <w:i/>
        </w:rPr>
        <w:t>unlock opportunities with a community</w:t>
      </w:r>
      <w:r>
        <w:rPr>
          <w:i/>
          <w:spacing w:val="-1"/>
        </w:rPr>
        <w:t xml:space="preserve"> </w:t>
      </w:r>
      <w:r>
        <w:rPr>
          <w:i/>
        </w:rPr>
        <w:t>partner</w:t>
      </w:r>
      <w:r>
        <w:rPr>
          <w:i/>
          <w:spacing w:val="-3"/>
        </w:rPr>
        <w:t xml:space="preserve"> </w:t>
      </w:r>
      <w:r>
        <w:rPr>
          <w:i/>
        </w:rPr>
        <w:t>or</w:t>
      </w:r>
      <w:r>
        <w:rPr>
          <w:i/>
          <w:spacing w:val="-3"/>
        </w:rPr>
        <w:t xml:space="preserve"> </w:t>
      </w:r>
      <w:r>
        <w:rPr>
          <w:i/>
        </w:rPr>
        <w:t>endorser. For</w:t>
      </w:r>
      <w:r>
        <w:rPr>
          <w:i/>
          <w:spacing w:val="-3"/>
        </w:rPr>
        <w:t xml:space="preserve"> </w:t>
      </w:r>
      <w:r>
        <w:rPr>
          <w:i/>
        </w:rPr>
        <w:t>example, students who were</w:t>
      </w:r>
    </w:p>
    <w:p w14:paraId="4DF6F081" w14:textId="77777777" w:rsidR="000E61B1" w:rsidRDefault="000E61B1">
      <w:pPr>
        <w:spacing w:line="259" w:lineRule="auto"/>
        <w:jc w:val="both"/>
        <w:rPr>
          <w:rFonts w:ascii="Symbol" w:hAnsi="Symbol"/>
        </w:rPr>
        <w:sectPr w:rsidR="000E61B1">
          <w:pgSz w:w="11910" w:h="16840"/>
          <w:pgMar w:top="1400" w:right="1220" w:bottom="280" w:left="1220" w:header="708" w:footer="0" w:gutter="0"/>
          <w:cols w:space="720"/>
        </w:sectPr>
      </w:pPr>
    </w:p>
    <w:p w14:paraId="15755BB5" w14:textId="77777777" w:rsidR="000E61B1" w:rsidRDefault="00000000">
      <w:pPr>
        <w:spacing w:before="30" w:line="259" w:lineRule="auto"/>
        <w:ind w:left="941" w:right="206"/>
        <w:jc w:val="both"/>
        <w:rPr>
          <w:i/>
        </w:rPr>
      </w:pPr>
      <w:r>
        <w:rPr>
          <w:i/>
        </w:rPr>
        <w:lastRenderedPageBreak/>
        <w:t xml:space="preserve">awarded the top level in invention were able to take part in a </w:t>
      </w:r>
      <w:proofErr w:type="spellStart"/>
      <w:r>
        <w:rPr>
          <w:i/>
        </w:rPr>
        <w:t>personalised</w:t>
      </w:r>
      <w:proofErr w:type="spellEnd"/>
      <w:r>
        <w:rPr>
          <w:i/>
        </w:rPr>
        <w:t xml:space="preserve"> job shadowing experience with a web app designer. No school/college credit is attached to the badges; however, the process is important in enabling young people to have authentic experiences and conversations with employers about the skills that are needed for their future (Priest, 2016, p. 12)</w:t>
      </w:r>
    </w:p>
    <w:p w14:paraId="524BF63C" w14:textId="77777777" w:rsidR="000E61B1" w:rsidRDefault="000E61B1">
      <w:pPr>
        <w:pStyle w:val="BodyText"/>
        <w:rPr>
          <w:i/>
          <w:sz w:val="24"/>
        </w:rPr>
      </w:pPr>
    </w:p>
    <w:p w14:paraId="47324093" w14:textId="77777777" w:rsidR="000E61B1" w:rsidRDefault="000E61B1">
      <w:pPr>
        <w:pStyle w:val="BodyText"/>
        <w:rPr>
          <w:i/>
          <w:sz w:val="24"/>
        </w:rPr>
      </w:pPr>
    </w:p>
    <w:p w14:paraId="5DCAB18D" w14:textId="4FBF4862" w:rsidR="000E61B1" w:rsidRDefault="000E61B1" w:rsidP="009B6DDB">
      <w:pPr>
        <w:pStyle w:val="BodyText"/>
        <w:spacing w:before="160" w:line="259" w:lineRule="auto"/>
        <w:ind w:right="309"/>
        <w:jc w:val="both"/>
      </w:pPr>
    </w:p>
    <w:sectPr w:rsidR="000E61B1">
      <w:pgSz w:w="11910" w:h="16840"/>
      <w:pgMar w:top="1400" w:right="1220" w:bottom="280" w:left="1220"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DC494" w14:textId="77777777" w:rsidR="00732B53" w:rsidRDefault="00732B53">
      <w:r>
        <w:separator/>
      </w:r>
    </w:p>
  </w:endnote>
  <w:endnote w:type="continuationSeparator" w:id="0">
    <w:p w14:paraId="0A396305" w14:textId="77777777" w:rsidR="00732B53" w:rsidRDefault="00732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25813" w14:textId="77777777" w:rsidR="00732B53" w:rsidRDefault="00732B53">
      <w:r>
        <w:separator/>
      </w:r>
    </w:p>
  </w:footnote>
  <w:footnote w:type="continuationSeparator" w:id="0">
    <w:p w14:paraId="25692069" w14:textId="77777777" w:rsidR="00732B53" w:rsidRDefault="00732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CF8EB" w14:textId="77777777" w:rsidR="000E61B1" w:rsidRDefault="00000000">
    <w:pPr>
      <w:pStyle w:val="BodyText"/>
      <w:spacing w:line="14" w:lineRule="auto"/>
      <w:rPr>
        <w:sz w:val="20"/>
      </w:rPr>
    </w:pPr>
    <w:r>
      <w:rPr>
        <w:noProof/>
      </w:rPr>
      <w:drawing>
        <wp:anchor distT="0" distB="0" distL="0" distR="0" simplePos="0" relativeHeight="487421440" behindDoc="1" locked="0" layoutInCell="1" allowOverlap="1" wp14:anchorId="6D466BA7" wp14:editId="419CE067">
          <wp:simplePos x="0" y="0"/>
          <wp:positionH relativeFrom="page">
            <wp:posOffset>5807709</wp:posOffset>
          </wp:positionH>
          <wp:positionV relativeFrom="page">
            <wp:posOffset>449579</wp:posOffset>
          </wp:positionV>
          <wp:extent cx="837171" cy="44577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837171" cy="4457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64F98"/>
    <w:multiLevelType w:val="hybridMultilevel"/>
    <w:tmpl w:val="8A72BB28"/>
    <w:lvl w:ilvl="0" w:tplc="90C68F54">
      <w:numFmt w:val="bullet"/>
      <w:lvlText w:val=""/>
      <w:lvlJc w:val="left"/>
      <w:pPr>
        <w:ind w:left="941" w:hanging="361"/>
      </w:pPr>
      <w:rPr>
        <w:rFonts w:ascii="Symbol" w:eastAsia="Symbol" w:hAnsi="Symbol" w:cs="Symbol" w:hint="default"/>
        <w:w w:val="100"/>
        <w:lang w:val="en-US" w:eastAsia="en-US" w:bidi="ar-SA"/>
      </w:rPr>
    </w:lvl>
    <w:lvl w:ilvl="1" w:tplc="0B24D9AE">
      <w:numFmt w:val="bullet"/>
      <w:lvlText w:val=""/>
      <w:lvlJc w:val="left"/>
      <w:pPr>
        <w:ind w:left="1214" w:hanging="284"/>
      </w:pPr>
      <w:rPr>
        <w:rFonts w:ascii="Symbol" w:eastAsia="Symbol" w:hAnsi="Symbol" w:cs="Symbol" w:hint="default"/>
        <w:b w:val="0"/>
        <w:bCs w:val="0"/>
        <w:i w:val="0"/>
        <w:iCs w:val="0"/>
        <w:w w:val="100"/>
        <w:sz w:val="22"/>
        <w:szCs w:val="22"/>
        <w:lang w:val="en-US" w:eastAsia="en-US" w:bidi="ar-SA"/>
      </w:rPr>
    </w:lvl>
    <w:lvl w:ilvl="2" w:tplc="86D8856A">
      <w:numFmt w:val="bullet"/>
      <w:lvlText w:val="•"/>
      <w:lvlJc w:val="left"/>
      <w:pPr>
        <w:ind w:left="2136" w:hanging="284"/>
      </w:pPr>
      <w:rPr>
        <w:rFonts w:hint="default"/>
        <w:lang w:val="en-US" w:eastAsia="en-US" w:bidi="ar-SA"/>
      </w:rPr>
    </w:lvl>
    <w:lvl w:ilvl="3" w:tplc="D6564E54">
      <w:numFmt w:val="bullet"/>
      <w:lvlText w:val="•"/>
      <w:lvlJc w:val="left"/>
      <w:pPr>
        <w:ind w:left="3052" w:hanging="284"/>
      </w:pPr>
      <w:rPr>
        <w:rFonts w:hint="default"/>
        <w:lang w:val="en-US" w:eastAsia="en-US" w:bidi="ar-SA"/>
      </w:rPr>
    </w:lvl>
    <w:lvl w:ilvl="4" w:tplc="66763A2E">
      <w:numFmt w:val="bullet"/>
      <w:lvlText w:val="•"/>
      <w:lvlJc w:val="left"/>
      <w:pPr>
        <w:ind w:left="3968" w:hanging="284"/>
      </w:pPr>
      <w:rPr>
        <w:rFonts w:hint="default"/>
        <w:lang w:val="en-US" w:eastAsia="en-US" w:bidi="ar-SA"/>
      </w:rPr>
    </w:lvl>
    <w:lvl w:ilvl="5" w:tplc="63DC6290">
      <w:numFmt w:val="bullet"/>
      <w:lvlText w:val="•"/>
      <w:lvlJc w:val="left"/>
      <w:pPr>
        <w:ind w:left="4884" w:hanging="284"/>
      </w:pPr>
      <w:rPr>
        <w:rFonts w:hint="default"/>
        <w:lang w:val="en-US" w:eastAsia="en-US" w:bidi="ar-SA"/>
      </w:rPr>
    </w:lvl>
    <w:lvl w:ilvl="6" w:tplc="A6CEB5BA">
      <w:numFmt w:val="bullet"/>
      <w:lvlText w:val="•"/>
      <w:lvlJc w:val="left"/>
      <w:pPr>
        <w:ind w:left="5800" w:hanging="284"/>
      </w:pPr>
      <w:rPr>
        <w:rFonts w:hint="default"/>
        <w:lang w:val="en-US" w:eastAsia="en-US" w:bidi="ar-SA"/>
      </w:rPr>
    </w:lvl>
    <w:lvl w:ilvl="7" w:tplc="22CA1AC6">
      <w:numFmt w:val="bullet"/>
      <w:lvlText w:val="•"/>
      <w:lvlJc w:val="left"/>
      <w:pPr>
        <w:ind w:left="6716" w:hanging="284"/>
      </w:pPr>
      <w:rPr>
        <w:rFonts w:hint="default"/>
        <w:lang w:val="en-US" w:eastAsia="en-US" w:bidi="ar-SA"/>
      </w:rPr>
    </w:lvl>
    <w:lvl w:ilvl="8" w:tplc="61FA15C6">
      <w:numFmt w:val="bullet"/>
      <w:lvlText w:val="•"/>
      <w:lvlJc w:val="left"/>
      <w:pPr>
        <w:ind w:left="7632" w:hanging="284"/>
      </w:pPr>
      <w:rPr>
        <w:rFonts w:hint="default"/>
        <w:lang w:val="en-US" w:eastAsia="en-US" w:bidi="ar-SA"/>
      </w:rPr>
    </w:lvl>
  </w:abstractNum>
  <w:num w:numId="1" w16cid:durableId="1041595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62"/>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E61B1"/>
    <w:rsid w:val="000E61B1"/>
    <w:rsid w:val="00732B53"/>
    <w:rsid w:val="009B6DDB"/>
    <w:rsid w:val="00B240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5BF00A9F"/>
  <w15:docId w15:val="{23D817C5-D385-4259-B391-1EEA8734A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2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41"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B6DDB"/>
    <w:pPr>
      <w:tabs>
        <w:tab w:val="center" w:pos="4513"/>
        <w:tab w:val="right" w:pos="9026"/>
      </w:tabs>
    </w:pPr>
  </w:style>
  <w:style w:type="character" w:customStyle="1" w:styleId="HeaderChar">
    <w:name w:val="Header Char"/>
    <w:basedOn w:val="DefaultParagraphFont"/>
    <w:link w:val="Header"/>
    <w:uiPriority w:val="99"/>
    <w:rsid w:val="009B6DDB"/>
    <w:rPr>
      <w:rFonts w:ascii="Arial" w:eastAsia="Arial" w:hAnsi="Arial" w:cs="Arial"/>
    </w:rPr>
  </w:style>
  <w:style w:type="paragraph" w:styleId="Footer">
    <w:name w:val="footer"/>
    <w:basedOn w:val="Normal"/>
    <w:link w:val="FooterChar"/>
    <w:uiPriority w:val="99"/>
    <w:unhideWhenUsed/>
    <w:rsid w:val="009B6DDB"/>
    <w:pPr>
      <w:tabs>
        <w:tab w:val="center" w:pos="4513"/>
        <w:tab w:val="right" w:pos="9026"/>
      </w:tabs>
    </w:pPr>
  </w:style>
  <w:style w:type="character" w:customStyle="1" w:styleId="FooterChar">
    <w:name w:val="Footer Char"/>
    <w:basedOn w:val="DefaultParagraphFont"/>
    <w:link w:val="Footer"/>
    <w:uiPriority w:val="99"/>
    <w:rsid w:val="009B6DD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ec.europa.eu/social/main.jsp?langId=en&amp;catId=1500&amp;newsId=10055&amp;furtherNews=yes" TargetMode="External"/><Relationship Id="rId21" Type="http://schemas.openxmlformats.org/officeDocument/2006/relationships/hyperlink" Target="http://www.cedefop.europa.eu/files/5514_en.pdf" TargetMode="External"/><Relationship Id="rId34" Type="http://schemas.openxmlformats.org/officeDocument/2006/relationships/hyperlink" Target="https://ec.europa.eu/social/main.jsp?langId=en&amp;catId=1500&amp;newsId=10013&amp;furtherNews=yes" TargetMode="External"/><Relationship Id="rId42" Type="http://schemas.openxmlformats.org/officeDocument/2006/relationships/hyperlink" Target="https://ec.europa.eu/social/main.jsp?langId=en&amp;catId=1500&amp;newsId=9692&amp;furtherNews=yes" TargetMode="External"/><Relationship Id="rId47" Type="http://schemas.openxmlformats.org/officeDocument/2006/relationships/hyperlink" Target="https://www.oecd-ilibrary.org/fr/employment/improving-the-quality-of-non-formal-adult-learning_f1b450e1-en" TargetMode="External"/><Relationship Id="rId50" Type="http://schemas.openxmlformats.org/officeDocument/2006/relationships/hyperlink" Target="https://www.cdn.ac.uk/wp-content/uploads/2022/06/Instituitional-Approaches-to-Curriculum-Design.pdf" TargetMode="External"/><Relationship Id="rId55" Type="http://schemas.openxmlformats.org/officeDocument/2006/relationships/hyperlink" Target="https://curriculumredesign.org/wp-content/uploads/CCR-Meta-Learning-FINAL-Nov.-17-2015.pdf" TargetMode="External"/><Relationship Id="rId63" Type="http://schemas.openxmlformats.org/officeDocument/2006/relationships/hyperlink" Target="https://www.edge.co.uk/research/projects/research-reports/highlands-college-redesigning-the-curriculum-review-of-best-practice/" TargetMode="External"/><Relationship Id="rId7" Type="http://schemas.openxmlformats.org/officeDocument/2006/relationships/hyperlink" Target="https://www.cedefop.europa.eu/files/5583_en.pdf" TargetMode="External"/><Relationship Id="rId2" Type="http://schemas.openxmlformats.org/officeDocument/2006/relationships/styles" Target="styles.xml"/><Relationship Id="rId16" Type="http://schemas.openxmlformats.org/officeDocument/2006/relationships/hyperlink" Target="https://www.oecd-ilibrary.org/fr/education/pathways-to-professions_a81152f4-en" TargetMode="External"/><Relationship Id="rId29" Type="http://schemas.openxmlformats.org/officeDocument/2006/relationships/hyperlink" Target="https://ec.europa.eu/social/main.jsp?langId=en&amp;catId=1500&amp;newsId=10076&amp;furtherNews=yes" TargetMode="External"/><Relationship Id="rId11" Type="http://schemas.openxmlformats.org/officeDocument/2006/relationships/header" Target="header1.xml"/><Relationship Id="rId24" Type="http://schemas.openxmlformats.org/officeDocument/2006/relationships/hyperlink" Target="https://ec.europa.eu/social/main.jsp?langId=en&amp;catId=1500&amp;newsId=10198&amp;furtherNews=yes" TargetMode="External"/><Relationship Id="rId32" Type="http://schemas.openxmlformats.org/officeDocument/2006/relationships/hyperlink" Target="https://ec.europa.eu/social/main.jsp?langId=en&amp;catId=1500&amp;newsId=9660&amp;furtherNews=yes" TargetMode="External"/><Relationship Id="rId37" Type="http://schemas.openxmlformats.org/officeDocument/2006/relationships/hyperlink" Target="https://ec.europa.eu/social/main.jsp?langId=en&amp;catId=1500&amp;newsId=9797&amp;furtherNews=yes" TargetMode="External"/><Relationship Id="rId40" Type="http://schemas.openxmlformats.org/officeDocument/2006/relationships/hyperlink" Target="https://ec.europa.eu/social/main.jsp?langId=en&amp;catId=1500&amp;newsId=9692&amp;furtherNews=yes" TargetMode="External"/><Relationship Id="rId45" Type="http://schemas.openxmlformats.org/officeDocument/2006/relationships/hyperlink" Target="https://ec.europa.eu/social/main.jsp?langId=en&amp;catId=1500&amp;newsId=9398&amp;furtherNews=yes" TargetMode="External"/><Relationship Id="rId53" Type="http://schemas.openxmlformats.org/officeDocument/2006/relationships/hyperlink" Target="https://curriculumredesign.org/wp-content/uploads/CCR-Skills_FINAL_June2015.pdf" TargetMode="External"/><Relationship Id="rId58" Type="http://schemas.openxmlformats.org/officeDocument/2006/relationships/hyperlink" Target="https://curriculumredesign.org/wp-content/uploads/Evolving-Assessments-for-the-21st-Century-Report-Feb-15-Final-by-CCR-ARC.pdf" TargetMode="External"/><Relationship Id="rId5" Type="http://schemas.openxmlformats.org/officeDocument/2006/relationships/footnotes" Target="footnotes.xml"/><Relationship Id="rId61" Type="http://schemas.openxmlformats.org/officeDocument/2006/relationships/hyperlink" Target="https://www.edge.co.uk/" TargetMode="External"/><Relationship Id="rId19" Type="http://schemas.openxmlformats.org/officeDocument/2006/relationships/hyperlink" Target="https://op.europa.eu/en/publication-detail/-/publication/8f010ea2-265b-11e7-ab65-01aa75ed71a1/language-en" TargetMode="External"/><Relationship Id="rId14" Type="http://schemas.openxmlformats.org/officeDocument/2006/relationships/hyperlink" Target="https://www.oecd-ilibrary.org/fr/education/pathways-to-professions_a81152f4-en" TargetMode="External"/><Relationship Id="rId22" Type="http://schemas.openxmlformats.org/officeDocument/2006/relationships/hyperlink" Target="https://ec.europa.eu/social/main.jsp?langId=en&amp;catId=1500&amp;newsId=10198&amp;furtherNews=yes" TargetMode="External"/><Relationship Id="rId27" Type="http://schemas.openxmlformats.org/officeDocument/2006/relationships/hyperlink" Target="https://ec.europa.eu/social/main.jsp?langId=en&amp;catId=1500&amp;newsId=10055&amp;furtherNews=yes" TargetMode="External"/><Relationship Id="rId30" Type="http://schemas.openxmlformats.org/officeDocument/2006/relationships/hyperlink" Target="https://ec.europa.eu/social/main.jsp?langId=en&amp;catId=1500&amp;newsId=10076&amp;furtherNews=yes" TargetMode="External"/><Relationship Id="rId35" Type="http://schemas.openxmlformats.org/officeDocument/2006/relationships/hyperlink" Target="https://ec.europa.eu/social/main.jsp?langId=en&amp;catId=1500&amp;newsId=10013&amp;furtherNews=yes" TargetMode="External"/><Relationship Id="rId43" Type="http://schemas.openxmlformats.org/officeDocument/2006/relationships/hyperlink" Target="https://ec.europa.eu/social/main.jsp?langId=en&amp;catId=1500&amp;newsId=9398&amp;furtherNews=yes" TargetMode="External"/><Relationship Id="rId48" Type="http://schemas.openxmlformats.org/officeDocument/2006/relationships/hyperlink" Target="https://www.oecd-ilibrary.org/fr/employment/improving-the-quality-of-non-formal-adult-learning_f1b450e1-en" TargetMode="External"/><Relationship Id="rId56" Type="http://schemas.openxmlformats.org/officeDocument/2006/relationships/hyperlink" Target="https://curriculumredesign.org/our-work/four-dimensional-21st-century-education-learning-competencies-future-2030/" TargetMode="External"/><Relationship Id="rId64" Type="http://schemas.openxmlformats.org/officeDocument/2006/relationships/fontTable" Target="fontTable.xml"/><Relationship Id="rId8" Type="http://schemas.openxmlformats.org/officeDocument/2006/relationships/hyperlink" Target="https://www.cedefop.europa.eu/files/9164_en_0.pdf" TargetMode="External"/><Relationship Id="rId51"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hyperlink" Target="https://www.oecd-ilibrary.org/fr/education/oecd-reviews-of-vocational-education-and-training_20777736" TargetMode="External"/><Relationship Id="rId17" Type="http://schemas.openxmlformats.org/officeDocument/2006/relationships/hyperlink" Target="https://www.oecd-ilibrary.org/fr/education/vocational-education-and-training-in-thailand_cc20bf6d-en" TargetMode="External"/><Relationship Id="rId25" Type="http://schemas.openxmlformats.org/officeDocument/2006/relationships/hyperlink" Target="https://ec.europa.eu/social/main.jsp?langId=en&amp;catId=1500&amp;newsId=10055&amp;furtherNews=yes" TargetMode="External"/><Relationship Id="rId33" Type="http://schemas.openxmlformats.org/officeDocument/2006/relationships/hyperlink" Target="https://ec.europa.eu/social/main.jsp?langId=en&amp;catId=1500&amp;newsId=9660&amp;furtherNews=yes" TargetMode="External"/><Relationship Id="rId38" Type="http://schemas.openxmlformats.org/officeDocument/2006/relationships/hyperlink" Target="https://ec.europa.eu/social/main.jsp?langId=en&amp;catId=1500&amp;newsId=9797&amp;furtherNews=yes" TargetMode="External"/><Relationship Id="rId46" Type="http://schemas.openxmlformats.org/officeDocument/2006/relationships/hyperlink" Target="https://ec.europa.eu/social/main.jsp?langId=en&amp;catId=1500&amp;furtherNews=yes" TargetMode="External"/><Relationship Id="rId59" Type="http://schemas.openxmlformats.org/officeDocument/2006/relationships/hyperlink" Target="https://curriculumredesign.org/wp-content/uploads/Workforce-Assessments-Report-March-2016-ARC-CCR.pdf" TargetMode="External"/><Relationship Id="rId20" Type="http://schemas.openxmlformats.org/officeDocument/2006/relationships/hyperlink" Target="https://op.europa.eu/en/publication-detail/-/publication/8f010ea2-265b-11e7-ab65-01aa75ed71a1/language-en" TargetMode="External"/><Relationship Id="rId41" Type="http://schemas.openxmlformats.org/officeDocument/2006/relationships/hyperlink" Target="https://ec.europa.eu/social/main.jsp?langId=en&amp;catId=1500&amp;newsId=9692&amp;furtherNews=yes" TargetMode="External"/><Relationship Id="rId54" Type="http://schemas.openxmlformats.org/officeDocument/2006/relationships/hyperlink" Target="https://curriculumredesign.org/wp-content/uploads/CCR-CharacterEducation_FINAL_27Feb2015-1.pdf" TargetMode="External"/><Relationship Id="rId62" Type="http://schemas.openxmlformats.org/officeDocument/2006/relationships/hyperlink" Target="https://www.edge.co.uk/news-and-events/blogs/piloting-international-future-skills-at-highlands-colleg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oecd-ilibrary.org/fr/education/pathways-to-professions_a81152f4-en" TargetMode="External"/><Relationship Id="rId23" Type="http://schemas.openxmlformats.org/officeDocument/2006/relationships/hyperlink" Target="https://ec.europa.eu/social/main.jsp?langId=en&amp;catId=1500&amp;newsId=10198&amp;furtherNews=yes" TargetMode="External"/><Relationship Id="rId28" Type="http://schemas.openxmlformats.org/officeDocument/2006/relationships/hyperlink" Target="https://ec.europa.eu/social/main.jsp?langId=en&amp;catId=1500&amp;newsId=10076&amp;furtherNews=yes" TargetMode="External"/><Relationship Id="rId36" Type="http://schemas.openxmlformats.org/officeDocument/2006/relationships/hyperlink" Target="https://ec.europa.eu/social/main.jsp?langId=en&amp;catId=1500&amp;newsId=10013&amp;furtherNews=yes" TargetMode="External"/><Relationship Id="rId49" Type="http://schemas.openxmlformats.org/officeDocument/2006/relationships/hyperlink" Target="https://www.edge.co.uk/documents/258/SKOPE-final.pdf" TargetMode="External"/><Relationship Id="rId57" Type="http://schemas.openxmlformats.org/officeDocument/2006/relationships/hyperlink" Target="https://curriculumredesign.org/our-work/four-dimensional-21st-century-education-learning-competencies-future-2030/" TargetMode="External"/><Relationship Id="rId10" Type="http://schemas.openxmlformats.org/officeDocument/2006/relationships/hyperlink" Target="https://www.oecd-ilibrary.org/education/education-at-a-glance-2021_b35a14e5-en" TargetMode="External"/><Relationship Id="rId31" Type="http://schemas.openxmlformats.org/officeDocument/2006/relationships/hyperlink" Target="https://ec.europa.eu/social/main.jsp?langId=en&amp;catId=1500&amp;newsId=9660&amp;furtherNews=yes" TargetMode="External"/><Relationship Id="rId44" Type="http://schemas.openxmlformats.org/officeDocument/2006/relationships/hyperlink" Target="https://ec.europa.eu/social/main.jsp?langId=en&amp;catId=1500&amp;newsId=9398&amp;furtherNews=yes" TargetMode="External"/><Relationship Id="rId52" Type="http://schemas.openxmlformats.org/officeDocument/2006/relationships/hyperlink" Target="https://curriculumredesign.org/wp-content/uploads/CCR-Knowledge-Framework-December-2015.pdf" TargetMode="External"/><Relationship Id="rId60" Type="http://schemas.openxmlformats.org/officeDocument/2006/relationships/hyperlink" Target="https://curriculumredesign.org/wp-content/uploads/Workforce-Assessments-Report-March-2016-ARC-CCR.pdf"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oecd-ilibrary.org/education/education-at-a-glance-2021_b35a14e5-en" TargetMode="External"/><Relationship Id="rId13" Type="http://schemas.openxmlformats.org/officeDocument/2006/relationships/hyperlink" Target="https://www.oecd-ilibrary.org/fr/education/oecd-reviews-of-vocational-education-and-training_20777736" TargetMode="External"/><Relationship Id="rId18" Type="http://schemas.openxmlformats.org/officeDocument/2006/relationships/hyperlink" Target="https://www.oecd-ilibrary.org/fr/education/vocational-education-and-training-in-thailand_cc20bf6d-en" TargetMode="External"/><Relationship Id="rId39" Type="http://schemas.openxmlformats.org/officeDocument/2006/relationships/hyperlink" Target="https://ec.europa.eu/social/main.jsp?langId=en&amp;catId=1500&amp;newsId=9797&amp;furtherNews=y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4974</Words>
  <Characters>28352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Atkinson</dc:creator>
  <cp:lastModifiedBy>Jack Moriarty</cp:lastModifiedBy>
  <cp:revision>2</cp:revision>
  <dcterms:created xsi:type="dcterms:W3CDTF">2022-09-01T08:56:00Z</dcterms:created>
  <dcterms:modified xsi:type="dcterms:W3CDTF">2022-09-01T09:10:00Z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2022-08-18T00:00:00Z</vt:filetime>
  </property>
  <property fmtid="{D5CDD505-2E9C-101B-9397-08002B2CF9AE}" pid="3" name="Creator">
    <vt:lpwstr>Microsoft® Word for Microsoft 365</vt:lpwstr>
  </property>
  <property fmtid="{D5CDD505-2E9C-101B-9397-08002B2CF9AE}" pid="4" name="LastSaved">
    <vt:filetime>2022-09-01T00:00:00Z</vt:filetime>
  </property>
  <property fmtid="{D5CDD505-2E9C-101B-9397-08002B2CF9AE}" pid="5" name="Producer">
    <vt:lpwstr>Microsoft® Word for Microsoft 365</vt:lpwstr>
  </property>
</Properties>
</file>